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contextualSpacing/>
        <w:jc w:val="center"/>
        <w:outlineLvl w:val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研究级正置电动显微镜成像系统</w:t>
      </w:r>
    </w:p>
    <w:p>
      <w:pPr>
        <w:spacing w:line="440" w:lineRule="exact"/>
        <w:contextualSpacing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一、用途</w:t>
      </w:r>
    </w:p>
    <w:p>
      <w:pPr>
        <w:numPr>
          <w:ilvl w:val="0"/>
          <w:numId w:val="1"/>
        </w:numPr>
        <w:spacing w:line="440" w:lineRule="exact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用于组织切片、生物材料荧光标记、活细胞荧光标记的高分辨率成像。</w:t>
      </w:r>
    </w:p>
    <w:p>
      <w:pPr>
        <w:numPr>
          <w:ilvl w:val="0"/>
          <w:numId w:val="1"/>
        </w:numPr>
        <w:spacing w:line="440" w:lineRule="exact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用于活细胞生物分子、细胞器或离子等生物物质的定性、定量、定时和定位分布检测等</w:t>
      </w:r>
      <w:r>
        <w:rPr>
          <w:rFonts w:hint="eastAsia"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>。</w:t>
      </w:r>
    </w:p>
    <w:p>
      <w:pPr>
        <w:numPr>
          <w:ilvl w:val="0"/>
          <w:numId w:val="1"/>
        </w:numPr>
        <w:spacing w:line="440" w:lineRule="exact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用于获取图像的时间信息，研究荧光标本随时间浓度、强度、扩散速度、空间移动等变化的数据信息，进行相关动力学研究。</w:t>
      </w:r>
    </w:p>
    <w:p>
      <w:pPr>
        <w:pStyle w:val="3"/>
        <w:spacing w:line="440" w:lineRule="exact"/>
        <w:contextualSpacing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二、数量：1套</w:t>
      </w:r>
    </w:p>
    <w:p>
      <w:pPr>
        <w:pStyle w:val="3"/>
        <w:spacing w:line="440" w:lineRule="exact"/>
        <w:contextualSpacing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三、技术要求</w:t>
      </w:r>
    </w:p>
    <w:p>
      <w:pPr>
        <w:widowControl/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光学系统：采用CFI60无限远光学系统，整套系统具备明场、荧光观察，可升级多人共览，还可选配暗场、相差、DIC等观察方法，电动部分包括：目镜筒、物镜转换器、Z轴、荧光激发块转盘、荧光光闸、荧光光源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2、显微镜镜体：载物台电动上/下移动，向上2mm/向下13mm ，内置线性编码器，分辨率0.025um，电动Escape和再定焦功能;12V100W卤素灯，内置复眼透镜，内置色温补偿片NCB11，灰度滤色片ND8、ND32；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3、目镜：10X宽视野均带屈光度调节，视场数22mm；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4、人机学电动四路倾斜式目镜筒，可同时连接相机和共聚焦扫描头,目镜/上端口/后端口：100%/0/0、0/100%/0、0/0/100%，倾斜角度：15-35度；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5、物镜：齐焦距离60 mm ，提供更长的工作距离和更高的数值孔径。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4X平场荧光物镜   4X N.A. 0.13, W.D. 17.1 mm   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10X平场荧光物镜  10X   N.A.  0.3, W.D.16.0 mm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20X平场荧光物镜  20X   N.A. 0.5, W.D. 2.1 mm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40X平场复消色差物镜  40X  N.A. 0.95, W.D. 0.21 mm  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100X平场复消色差物镜  100X  N.A. 1.4, W.D. 0.13 mm          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6、电动六孔物镜转换器；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7、双夹片右手柄载物台:右手柄带双片夹陶瓷涂层载物台，超硬经久耐磨。横向行程78(X)x54（Y）mm，手柄高度和扭矩可调；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8、聚光器： 阿贝聚光器  N.A. 0.9  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9、*控制器：带图像拍摄按钮,眼睛无需离开目镜，只需按下显微镜底座上的图像拍摄按钮即可获得图像；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10、所有光学部分应具有防霉功能；</w:t>
      </w:r>
    </w:p>
    <w:p>
      <w:pPr>
        <w:spacing w:line="440" w:lineRule="exact"/>
        <w:ind w:left="420" w:hanging="420" w:hangingChars="150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11、</w:t>
      </w:r>
      <w:r>
        <w:rPr>
          <w:rFonts w:hint="eastAsia" w:ascii="宋体" w:hAnsi="宋体" w:cs="宋体"/>
          <w:kern w:val="0"/>
          <w:sz w:val="28"/>
          <w:szCs w:val="28"/>
        </w:rPr>
        <w:t>100W长寿命冷光源，使用寿命2000小时以上， 内置6档电动控制光强亮度调节，光闸；6位电动荧光滤镜转轮，复消色差荧光光路；内置噪声消除装置，提高信噪比；荧光照明系统包含视场光阑和孔径光阑；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12、专用荧光滤镜：紫外激发滤光块、蓝色激发滤光块、红色激发滤光块；</w:t>
      </w:r>
    </w:p>
    <w:p>
      <w:pPr>
        <w:spacing w:line="440" w:lineRule="exact"/>
        <w:ind w:left="560" w:hanging="560" w:hangingChars="200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13、电动六孔激发块转盘；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14、配有与显微镜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配套的</w:t>
      </w:r>
      <w:r>
        <w:rPr>
          <w:rFonts w:hint="eastAsia" w:ascii="宋体" w:hAnsi="宋体" w:cs="宋体"/>
          <w:sz w:val="28"/>
          <w:szCs w:val="28"/>
        </w:rPr>
        <w:t>摄像头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1)芯片尺寸：全尺寸36 x 23.9mm,像素大小7.3um X7.3um；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2）真实有效像素： 1625万像素；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3）曝光时间：100m s～60s，具备一键自动曝光、连续自动曝光、手动曝光等模式；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4）感光度：ISO200～12800；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5）预览速度1636 x 1608，45帧/秒；4908 x 3264，6帧/秒；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6）USB3.0接口，外部同步I/O；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7）AD转换：16位；                                                     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15、高级图像分析软件：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（一）文件处理：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1、用户可自定义拍摄信息表，自动记录拍摄数据和实验信息；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2、图像，通道和自定义区域之间的拷贝，粘贴；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3、预设荧光染料数据库，保证通道颜色的真实；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4、具有多种标注功能（箭头、文字、各种形状等）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（二）图像处理：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1、可对图像和通道的对比度，亮度，Gamma等进行调节；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2、通道混合，通道Ratio，通道算术，通道抽取/合并，通道间相对位置矫正；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3、Gray/RGB/HIS/Binary之间互相转换，位深转换；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4、自动拼图，拍摄超大视野图像，支持AF；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（三）间时拍照功能：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1、设置间时拍照时间，拍照的总时间，具有间隔拍摄功能，跟踪图像间时变化状态；</w:t>
      </w:r>
    </w:p>
    <w:p>
      <w:pPr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2、可使间隔时间为0，从而实现视频的拍摄</w:t>
      </w:r>
    </w:p>
    <w:p>
      <w:pPr>
        <w:spacing w:line="440" w:lineRule="exact"/>
        <w:contextualSpacing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/>
          <w:b/>
          <w:bCs/>
          <w:kern w:val="0"/>
          <w:sz w:val="28"/>
          <w:szCs w:val="28"/>
        </w:rPr>
        <w:t>四、供货范围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清单</w:t>
      </w:r>
    </w:p>
    <w:tbl>
      <w:tblPr>
        <w:tblStyle w:val="7"/>
        <w:tblpPr w:leftFromText="180" w:rightFromText="180" w:vertAnchor="text" w:horzAnchor="page" w:tblpX="1661" w:tblpY="82"/>
        <w:tblOverlap w:val="never"/>
        <w:tblW w:w="91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5"/>
        <w:gridCol w:w="4793"/>
        <w:gridCol w:w="2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47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物料描述</w:t>
            </w:r>
          </w:p>
        </w:tc>
        <w:tc>
          <w:tcPr>
            <w:tcW w:w="280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47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全自动正置荧光显微镜</w:t>
            </w:r>
          </w:p>
        </w:tc>
        <w:tc>
          <w:tcPr>
            <w:tcW w:w="280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47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工作站</w:t>
            </w:r>
          </w:p>
        </w:tc>
        <w:tc>
          <w:tcPr>
            <w:tcW w:w="280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1套</w:t>
            </w:r>
          </w:p>
        </w:tc>
      </w:tr>
    </w:tbl>
    <w:p>
      <w:pPr>
        <w:pStyle w:val="3"/>
        <w:spacing w:line="440" w:lineRule="exact"/>
        <w:contextualSpacing/>
        <w:rPr>
          <w:rFonts w:hint="eastAsia" w:ascii="宋体"/>
          <w:b/>
          <w:bCs/>
          <w:kern w:val="0"/>
          <w:sz w:val="28"/>
          <w:szCs w:val="28"/>
        </w:rPr>
      </w:pPr>
      <w:r>
        <w:rPr>
          <w:rFonts w:hint="eastAsia" w:ascii="宋体"/>
          <w:b/>
          <w:bCs/>
          <w:kern w:val="0"/>
          <w:sz w:val="28"/>
          <w:szCs w:val="28"/>
        </w:rPr>
        <w:t>五、保修期：保修叁年</w:t>
      </w:r>
    </w:p>
    <w:p>
      <w:pPr>
        <w:spacing w:line="440" w:lineRule="exact"/>
        <w:contextualSpacing/>
        <w:jc w:val="center"/>
        <w:outlineLvl w:val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神经血管耦联分析系统</w:t>
      </w:r>
    </w:p>
    <w:p>
      <w:pPr>
        <w:numPr>
          <w:ilvl w:val="0"/>
          <w:numId w:val="2"/>
        </w:numPr>
        <w:spacing w:line="440" w:lineRule="exact"/>
        <w:contextualSpacing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用途</w:t>
      </w:r>
    </w:p>
    <w:p>
      <w:pPr>
        <w:widowControl/>
        <w:spacing w:line="440" w:lineRule="exact"/>
        <w:ind w:firstLine="280" w:firstLineChars="100"/>
        <w:contextualSpacing/>
        <w:jc w:val="left"/>
        <w:rPr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用于研究小动物神经活动时的血流分布与变化，属生命科学研究使用。</w:t>
      </w:r>
    </w:p>
    <w:p>
      <w:pPr>
        <w:pStyle w:val="3"/>
        <w:spacing w:line="440" w:lineRule="exact"/>
        <w:contextualSpacing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二、数量：1套</w:t>
      </w:r>
    </w:p>
    <w:p>
      <w:pPr>
        <w:pStyle w:val="3"/>
        <w:spacing w:line="440" w:lineRule="exact"/>
        <w:contextualSpacing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三、技术要求</w:t>
      </w:r>
    </w:p>
    <w:p>
      <w:pPr>
        <w:widowControl/>
        <w:spacing w:line="440" w:lineRule="exact"/>
        <w:ind w:firstLine="280" w:firstLineChars="100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1.激光波长：785nm；</w:t>
      </w:r>
    </w:p>
    <w:p>
      <w:pPr>
        <w:widowControl/>
        <w:spacing w:line="440" w:lineRule="exact"/>
        <w:ind w:firstLine="280" w:firstLineChars="100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2.激光驱动方式：恒温恒流驱动；</w:t>
      </w:r>
    </w:p>
    <w:p>
      <w:pPr>
        <w:widowControl/>
        <w:spacing w:line="440" w:lineRule="exact"/>
        <w:ind w:firstLine="280" w:firstLineChars="100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3.血流成像速度：不低于60fps；</w:t>
      </w:r>
    </w:p>
    <w:p>
      <w:pPr>
        <w:widowControl/>
        <w:spacing w:line="440" w:lineRule="exact"/>
        <w:ind w:firstLine="280" w:firstLineChars="100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4.空间分辨率：高达2μm/pixel；</w:t>
      </w:r>
    </w:p>
    <w:p>
      <w:pPr>
        <w:widowControl/>
        <w:spacing w:line="440" w:lineRule="exact"/>
        <w:ind w:firstLine="280" w:firstLineChars="100"/>
        <w:contextualSpacing/>
        <w:jc w:val="left"/>
        <w:rPr>
          <w:rFonts w:ascii="宋体"/>
          <w:kern w:val="0"/>
          <w:sz w:val="28"/>
          <w:szCs w:val="28"/>
          <w:vertAlign w:val="superscript"/>
        </w:rPr>
      </w:pPr>
      <w:r>
        <w:rPr>
          <w:rFonts w:hint="eastAsia" w:ascii="宋体"/>
          <w:kern w:val="0"/>
          <w:sz w:val="28"/>
          <w:szCs w:val="28"/>
        </w:rPr>
        <w:t>5.单位面积内像素数：不低于1，600，000像素/cm</w:t>
      </w:r>
      <w:r>
        <w:rPr>
          <w:rFonts w:hint="eastAsia" w:ascii="宋体"/>
          <w:kern w:val="0"/>
          <w:sz w:val="28"/>
          <w:szCs w:val="28"/>
          <w:vertAlign w:val="superscript"/>
        </w:rPr>
        <w:t>2；</w:t>
      </w:r>
    </w:p>
    <w:p>
      <w:pPr>
        <w:widowControl/>
        <w:spacing w:line="440" w:lineRule="exact"/>
        <w:ind w:left="239" w:leftChars="114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6.成像系统：体式显微成像系统，变焦比不低于6，配备目镜以进行微操手术；</w:t>
      </w:r>
    </w:p>
    <w:p>
      <w:pPr>
        <w:widowControl/>
        <w:spacing w:line="440" w:lineRule="exact"/>
        <w:ind w:firstLine="280" w:firstLineChars="100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7.工作距离：固定，视野调节时不影响系统空间位置；</w:t>
      </w:r>
    </w:p>
    <w:p>
      <w:pPr>
        <w:widowControl/>
        <w:spacing w:line="440" w:lineRule="exact"/>
        <w:ind w:left="1639" w:leftChars="114" w:hanging="1400" w:hangingChars="500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8.ROI功能：ROI流速均值在线/离线分析，支持任意形状及数量的ROI选择、复制、删除，ROI位置与大小自由拖放编辑；</w:t>
      </w:r>
    </w:p>
    <w:p>
      <w:pPr>
        <w:widowControl/>
        <w:spacing w:line="440" w:lineRule="exact"/>
        <w:ind w:firstLine="280" w:firstLineChars="100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9.TOI功能：支持任意个时间段内血流均值及血流均值相对变化的分析；</w:t>
      </w:r>
    </w:p>
    <w:p>
      <w:pPr>
        <w:widowControl/>
        <w:spacing w:line="440" w:lineRule="exact"/>
        <w:ind w:firstLine="280" w:firstLineChars="100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10.事件打标功能：支持用户对采集过程中的特征性时刻进行打标记录；</w:t>
      </w:r>
    </w:p>
    <w:p>
      <w:pPr>
        <w:widowControl/>
        <w:spacing w:line="440" w:lineRule="exact"/>
        <w:ind w:firstLine="280" w:firstLineChars="100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11.管径分析功能：任意选择多根血管，在线/离线分析管径变化；</w:t>
      </w:r>
    </w:p>
    <w:p>
      <w:pPr>
        <w:widowControl/>
        <w:spacing w:line="440" w:lineRule="exact"/>
        <w:ind w:firstLine="280" w:firstLineChars="100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12.血管夹角测量功能：可实时显示选定血管间的夹角；</w:t>
      </w:r>
    </w:p>
    <w:p>
      <w:pPr>
        <w:widowControl/>
        <w:spacing w:line="440" w:lineRule="exact"/>
        <w:ind w:left="239" w:leftChars="114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13.定位网格功能：支持任意密度的定位网格，便于用户对观测对象进行精确定位；</w:t>
      </w:r>
    </w:p>
    <w:p>
      <w:pPr>
        <w:widowControl/>
        <w:spacing w:line="440" w:lineRule="exact"/>
        <w:ind w:left="239" w:leftChars="114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14.运动矫正功能：支持对观测对象在观测过程中发生的移动/运动进行自动矫正，无需再进行平移ROI等操作即可实现对长时间图像序列的数值分析；</w:t>
      </w:r>
    </w:p>
    <w:p>
      <w:pPr>
        <w:widowControl/>
        <w:spacing w:line="440" w:lineRule="exact"/>
        <w:ind w:left="239" w:leftChars="114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15.分析状态记录功能：可对所绘制ROI的状态（形状、数量、位置）进行记录，可对血流图像序列的分析状态（显示系数、矫正系数等）进行记录，再次载入时无需重复ROI绘制/序列分析的操作；</w:t>
      </w:r>
    </w:p>
    <w:p>
      <w:pPr>
        <w:widowControl/>
        <w:spacing w:line="440" w:lineRule="exact"/>
        <w:ind w:firstLine="280" w:firstLineChars="100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16.血流图像采集方式：具备连续采集、指定时间间隔采集方式；</w:t>
      </w:r>
    </w:p>
    <w:p>
      <w:pPr>
        <w:widowControl/>
        <w:spacing w:line="440" w:lineRule="exact"/>
        <w:ind w:left="239" w:leftChars="114"/>
        <w:contextualSpacing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17.数据存储格式：原始流速数据/标准图像/视频等多种数据保存格式；</w:t>
      </w:r>
    </w:p>
    <w:p>
      <w:pPr>
        <w:pStyle w:val="3"/>
        <w:spacing w:line="440" w:lineRule="exact"/>
        <w:contextualSpacing/>
        <w:rPr>
          <w:rFonts w:ascii="宋体"/>
          <w:b/>
          <w:bCs/>
          <w:kern w:val="0"/>
          <w:sz w:val="28"/>
          <w:szCs w:val="28"/>
        </w:rPr>
      </w:pPr>
      <w:r>
        <w:rPr>
          <w:rFonts w:hint="eastAsia" w:ascii="宋体"/>
          <w:b/>
          <w:bCs/>
          <w:kern w:val="0"/>
          <w:sz w:val="28"/>
          <w:szCs w:val="28"/>
        </w:rPr>
        <w:t>四、配置清单</w:t>
      </w:r>
    </w:p>
    <w:tbl>
      <w:tblPr>
        <w:tblStyle w:val="7"/>
        <w:tblpPr w:leftFromText="180" w:rightFromText="180" w:vertAnchor="text" w:horzAnchor="page" w:tblpX="1661" w:tblpY="82"/>
        <w:tblOverlap w:val="never"/>
        <w:tblW w:w="91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5"/>
        <w:gridCol w:w="4793"/>
        <w:gridCol w:w="2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47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物料描述</w:t>
            </w:r>
          </w:p>
        </w:tc>
        <w:tc>
          <w:tcPr>
            <w:tcW w:w="280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47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spacing w:line="440" w:lineRule="exact"/>
              <w:contextualSpacing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激光散斑血流仪软件</w:t>
            </w:r>
          </w:p>
        </w:tc>
        <w:tc>
          <w:tcPr>
            <w:tcW w:w="280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spacing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47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spacing w:line="440" w:lineRule="exact"/>
              <w:contextualSpacing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控制电源箱</w:t>
            </w:r>
          </w:p>
        </w:tc>
        <w:tc>
          <w:tcPr>
            <w:tcW w:w="280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spacing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47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spacing w:line="440" w:lineRule="exact"/>
              <w:contextualSpacing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成像探头</w:t>
            </w:r>
          </w:p>
        </w:tc>
        <w:tc>
          <w:tcPr>
            <w:tcW w:w="280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spacing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47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spacing w:line="440" w:lineRule="exact"/>
              <w:contextualSpacing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支架</w:t>
            </w:r>
          </w:p>
        </w:tc>
        <w:tc>
          <w:tcPr>
            <w:tcW w:w="280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spacing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47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spacing w:line="440" w:lineRule="exact"/>
              <w:contextualSpacing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线缆</w:t>
            </w:r>
          </w:p>
        </w:tc>
        <w:tc>
          <w:tcPr>
            <w:tcW w:w="280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spacing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4</w:t>
            </w:r>
          </w:p>
        </w:tc>
      </w:tr>
    </w:tbl>
    <w:p>
      <w:pPr>
        <w:pStyle w:val="3"/>
        <w:numPr>
          <w:ilvl w:val="0"/>
          <w:numId w:val="3"/>
        </w:numPr>
        <w:spacing w:line="440" w:lineRule="exact"/>
        <w:contextualSpacing/>
        <w:rPr>
          <w:rFonts w:ascii="宋体"/>
          <w:b/>
          <w:bCs/>
          <w:kern w:val="0"/>
          <w:sz w:val="28"/>
          <w:szCs w:val="28"/>
        </w:rPr>
      </w:pPr>
      <w:r>
        <w:rPr>
          <w:rFonts w:hint="eastAsia" w:ascii="宋体"/>
          <w:b/>
          <w:bCs/>
          <w:kern w:val="0"/>
          <w:sz w:val="28"/>
          <w:szCs w:val="28"/>
        </w:rPr>
        <w:t>保修期：保修叁年</w:t>
      </w:r>
    </w:p>
    <w:p>
      <w:pPr>
        <w:spacing w:line="440" w:lineRule="exact"/>
        <w:ind w:left="420"/>
        <w:contextualSpacing/>
        <w:jc w:val="center"/>
        <w:outlineLvl w:val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内窥镜图像显示系统</w:t>
      </w:r>
    </w:p>
    <w:p>
      <w:pPr>
        <w:spacing w:line="440" w:lineRule="exact"/>
        <w:contextualSpacing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一、用途:</w:t>
      </w:r>
      <w:r>
        <w:rPr>
          <w:rFonts w:hint="eastAsia" w:ascii="宋体" w:hAnsi="宋体"/>
          <w:bCs/>
          <w:sz w:val="28"/>
          <w:szCs w:val="28"/>
        </w:rPr>
        <w:t>用于微创手术</w:t>
      </w:r>
    </w:p>
    <w:p>
      <w:pPr>
        <w:pStyle w:val="3"/>
        <w:spacing w:line="440" w:lineRule="exact"/>
        <w:contextualSpacing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二、数量：1套</w:t>
      </w:r>
    </w:p>
    <w:p>
      <w:pPr>
        <w:pStyle w:val="3"/>
        <w:spacing w:line="440" w:lineRule="exact"/>
        <w:contextualSpacing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三、技术要求</w:t>
      </w:r>
    </w:p>
    <w:p>
      <w:pPr>
        <w:spacing w:line="440" w:lineRule="exact"/>
        <w:contextualSpacing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（一）高清摄像系统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1、HD高清摄像主机，分辨率≥1920×1080P像素，输出比例≥16：9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；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2、输出信号端口：1×HDMI，1×USB3.0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；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3、自动白平衡：色温介于2300K和7000K之间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；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4、设备小巧，占用空间少，方便携带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；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5、具备自动电子快门控制+自动增益控制功能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；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6、即插即用，仅需连接一个插口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；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7、配套21寸显示器，控制台、支架各一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8、灵活的安装的方式：可便携安装在专用监视器底座上（主机或光源）。</w:t>
      </w:r>
    </w:p>
    <w:p>
      <w:pPr>
        <w:spacing w:line="440" w:lineRule="exact"/>
        <w:contextualSpacing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（二）高清摄像头(含调焦镜头）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1、1/3 CMOS HD高清摄像头，通用C-Mount接口，镜头可拆卸，清洁更加彻底，高感亮度；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2、并可根据不同手术需求选配不同规格镜头；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3、高清信号输出≥1920×1080P，输出比例≥5：4；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4、两个摄像头按钮可调节各种功能，白平衡/亮度调节（3档），电子放大（1档）， 细节增强（1档）；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5、高清镜头F≥14mm；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6、可过氧化氢等离子、过乙酸灭菌，可浸泡消毒液消毒。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（三）LED冷光源</w:t>
      </w:r>
    </w:p>
    <w:p>
      <w:pPr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1、LED冷光源，色温≥6500K, 灯泡寿命≥30000小时；</w:t>
      </w:r>
    </w:p>
    <w:p>
      <w:pPr>
        <w:autoSpaceDN w:val="0"/>
        <w:spacing w:line="440" w:lineRule="exact"/>
        <w:contextualSpacing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2、级别-CF(心脏手术屏护)；</w:t>
      </w:r>
    </w:p>
    <w:p>
      <w:pPr>
        <w:pStyle w:val="3"/>
        <w:spacing w:line="440" w:lineRule="exact"/>
        <w:contextualSpacing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3、自带滤光片，可滤除紫外光和红外光输出亮度可数字调节；</w:t>
      </w:r>
    </w:p>
    <w:p>
      <w:pPr>
        <w:autoSpaceDN w:val="0"/>
        <w:spacing w:line="440" w:lineRule="exact"/>
        <w:contextualSpacing/>
        <w:jc w:val="left"/>
        <w:rPr>
          <w:rFonts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4、手动调光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；</w:t>
      </w:r>
    </w:p>
    <w:p>
      <w:pPr>
        <w:autoSpaceDN w:val="0"/>
        <w:spacing w:line="440" w:lineRule="exact"/>
        <w:contextualSpacing/>
        <w:jc w:val="left"/>
        <w:rPr>
          <w:rFonts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5、高效且节约成本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；</w:t>
      </w:r>
    </w:p>
    <w:p>
      <w:pPr>
        <w:autoSpaceDN w:val="0"/>
        <w:spacing w:line="440" w:lineRule="exact"/>
        <w:contextualSpacing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6、具有温度控制系统，避免设备温度过高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；</w:t>
      </w:r>
    </w:p>
    <w:p>
      <w:pPr>
        <w:autoSpaceDN w:val="0"/>
        <w:spacing w:line="440" w:lineRule="exact"/>
        <w:contextualSpacing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7、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纤维导光束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直径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≥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2.5mm，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长度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≥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3000mm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>。</w:t>
      </w:r>
    </w:p>
    <w:p>
      <w:pPr>
        <w:spacing w:line="440" w:lineRule="exact"/>
        <w:contextualSpacing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/>
          <w:b/>
          <w:bCs/>
          <w:kern w:val="0"/>
          <w:sz w:val="28"/>
          <w:szCs w:val="28"/>
        </w:rPr>
        <w:t>四、供货范围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清单</w:t>
      </w:r>
    </w:p>
    <w:tbl>
      <w:tblPr>
        <w:tblStyle w:val="8"/>
        <w:tblW w:w="6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4183"/>
        <w:gridCol w:w="901"/>
        <w:gridCol w:w="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847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83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货物</w:t>
            </w:r>
          </w:p>
        </w:tc>
        <w:tc>
          <w:tcPr>
            <w:tcW w:w="901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948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847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4183" w:type="dxa"/>
            <w:vAlign w:val="center"/>
          </w:tcPr>
          <w:p>
            <w:pPr>
              <w:widowControl/>
              <w:contextualSpacing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高清摄像系统</w:t>
            </w:r>
          </w:p>
        </w:tc>
        <w:tc>
          <w:tcPr>
            <w:tcW w:w="901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948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847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4183" w:type="dxa"/>
            <w:vAlign w:val="center"/>
          </w:tcPr>
          <w:p>
            <w:pPr>
              <w:widowControl/>
              <w:contextualSpacing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高清摄像头</w:t>
            </w:r>
          </w:p>
        </w:tc>
        <w:tc>
          <w:tcPr>
            <w:tcW w:w="901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948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847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4183" w:type="dxa"/>
            <w:vAlign w:val="center"/>
          </w:tcPr>
          <w:p>
            <w:pPr>
              <w:contextualSpacing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定焦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镜头</w:t>
            </w:r>
          </w:p>
        </w:tc>
        <w:tc>
          <w:tcPr>
            <w:tcW w:w="901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948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847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4</w:t>
            </w:r>
          </w:p>
        </w:tc>
        <w:tc>
          <w:tcPr>
            <w:tcW w:w="4183" w:type="dxa"/>
            <w:vAlign w:val="center"/>
          </w:tcPr>
          <w:p>
            <w:pPr>
              <w:widowControl/>
              <w:contextualSpacing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LED光源</w:t>
            </w:r>
          </w:p>
        </w:tc>
        <w:tc>
          <w:tcPr>
            <w:tcW w:w="901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948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847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5</w:t>
            </w:r>
          </w:p>
        </w:tc>
        <w:tc>
          <w:tcPr>
            <w:tcW w:w="4183" w:type="dxa"/>
            <w:vAlign w:val="center"/>
          </w:tcPr>
          <w:p>
            <w:pPr>
              <w:contextualSpacing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纤维光导束</w:t>
            </w:r>
          </w:p>
        </w:tc>
        <w:tc>
          <w:tcPr>
            <w:tcW w:w="901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948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847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7</w:t>
            </w:r>
          </w:p>
        </w:tc>
        <w:tc>
          <w:tcPr>
            <w:tcW w:w="4183" w:type="dxa"/>
            <w:vAlign w:val="center"/>
          </w:tcPr>
          <w:p>
            <w:pPr>
              <w:widowControl/>
              <w:contextualSpacing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控制台及摄像系统支架</w:t>
            </w:r>
          </w:p>
        </w:tc>
        <w:tc>
          <w:tcPr>
            <w:tcW w:w="901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948" w:type="dxa"/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套</w:t>
            </w:r>
          </w:p>
        </w:tc>
      </w:tr>
    </w:tbl>
    <w:p>
      <w:pPr>
        <w:pStyle w:val="3"/>
        <w:numPr>
          <w:ilvl w:val="0"/>
          <w:numId w:val="3"/>
        </w:numPr>
        <w:spacing w:line="440" w:lineRule="exact"/>
        <w:ind w:left="0" w:leftChars="0" w:firstLine="0" w:firstLineChars="0"/>
        <w:contextualSpacing/>
        <w:rPr>
          <w:rFonts w:hint="eastAsia" w:ascii="宋体"/>
          <w:b/>
          <w:bCs/>
          <w:kern w:val="0"/>
          <w:sz w:val="28"/>
          <w:szCs w:val="28"/>
        </w:rPr>
      </w:pPr>
      <w:r>
        <w:rPr>
          <w:rFonts w:hint="eastAsia" w:ascii="宋体"/>
          <w:b/>
          <w:bCs/>
          <w:kern w:val="0"/>
          <w:sz w:val="28"/>
          <w:szCs w:val="28"/>
        </w:rPr>
        <w:t>保修期：保修叁年</w:t>
      </w:r>
    </w:p>
    <w:p>
      <w:pPr>
        <w:spacing w:line="440" w:lineRule="exact"/>
        <w:contextualSpacing/>
        <w:jc w:val="center"/>
        <w:outlineLvl w:val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样品破碎系统</w:t>
      </w:r>
    </w:p>
    <w:p>
      <w:pPr>
        <w:spacing w:line="440" w:lineRule="exact"/>
        <w:contextualSpacing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一、用途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对动物、细胞或组织进行快速、高效的破碎和匀浆。</w:t>
      </w:r>
    </w:p>
    <w:p>
      <w:pPr>
        <w:pStyle w:val="3"/>
        <w:spacing w:line="440" w:lineRule="exact"/>
        <w:contextualSpacing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二、数量：1台</w:t>
      </w:r>
    </w:p>
    <w:p>
      <w:pPr>
        <w:pStyle w:val="3"/>
        <w:spacing w:line="440" w:lineRule="exact"/>
        <w:contextualSpacing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三、技术要求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1.1、控制面板程序运行时间与速度LED屏幕直观显示；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1.2、可以通过透明顶盖观察整个破碎流程；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1.3、主机上有两个可视频闪灯，可看到样品管中样品的实际运动轨迹；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1.4、“3D高速旋转运动”可以使样品管以8字型运动，可通过微珠直接均匀撞击细胞得到高效的破碎效果，可以快速破碎纤维组织以及难破的细胞；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1.5、针对不同样品可提供原厂提取DNA、RNA、蛋白的优化试剂盒；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1.6、针对不同样品可提供原厂提取DNA、RNA、蛋白研磨介质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1.7、转速范围：4.0-10 m/s，0.5 m/s递增；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1.8、时间设定：1-120 s，此范围内以1 s为单位增加；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1.9、可设置1-9个循环，循环之间可设定1到300秒停；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1.10、加速快，在2秒内达到最大速度；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1.11、减速快，在2秒内完全停止运行；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1.12、可随意更换适配器： 24*2 mL，48*2 mL ，24*4.5 mL 12*15 mL，2*50 mL多种规格可选；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1.13、样品处理适配器有常温适配器，冷冻适配器，全金属适配器多种类型可选择，满足多种实验需求；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1.14、所有冷冻适配器，在处理过程中维持样品处于4 ℃以下；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1.15、所有金属适配器可耐受≥450 ℃高温，可以耐受高温高压灭菌；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1.16、软件：微控制器：Arm处理器，内存≥64MB触摸屏界面，屏幕大小：≥151.5 mm*85.5 mm；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1.17、自定义设置：≥12个自定义程序设置存储位点；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1.18、预定义设置：≥73个推荐的预设程序；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1.19、带有USB端口可以导出记录的运行数据，及更新程序软件；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1.20、具有程序运行状况监控及声音警报功能；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1.21、安全装置：开盖检测，电动机过热检测，转子故障检测；</w:t>
      </w:r>
    </w:p>
    <w:p>
      <w:pPr>
        <w:spacing w:line="440" w:lineRule="exact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1.22、噪音等级&lt;70 db；</w:t>
      </w:r>
    </w:p>
    <w:p>
      <w:pPr>
        <w:spacing w:line="440" w:lineRule="exact"/>
        <w:contextualSpacing/>
        <w:rPr>
          <w:rFonts w:ascii="宋体"/>
          <w:b/>
          <w:bCs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1.23、安全性符合UL与CE标准；</w:t>
      </w:r>
    </w:p>
    <w:p>
      <w:pPr>
        <w:spacing w:line="440" w:lineRule="exact"/>
        <w:contextualSpacing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/>
          <w:b/>
          <w:bCs/>
          <w:kern w:val="0"/>
          <w:sz w:val="28"/>
          <w:szCs w:val="28"/>
        </w:rPr>
        <w:t>四、供货范围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清单</w:t>
      </w:r>
    </w:p>
    <w:tbl>
      <w:tblPr>
        <w:tblStyle w:val="7"/>
        <w:tblpPr w:leftFromText="180" w:rightFromText="180" w:vertAnchor="text" w:horzAnchor="page" w:tblpX="1661" w:tblpY="82"/>
        <w:tblOverlap w:val="never"/>
        <w:tblW w:w="88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0"/>
        <w:gridCol w:w="4622"/>
        <w:gridCol w:w="2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490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462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物料描述</w:t>
            </w:r>
          </w:p>
        </w:tc>
        <w:tc>
          <w:tcPr>
            <w:tcW w:w="2706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490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462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主机 </w:t>
            </w:r>
          </w:p>
        </w:tc>
        <w:tc>
          <w:tcPr>
            <w:tcW w:w="2706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490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462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24*2 mL常温适配器 </w:t>
            </w:r>
          </w:p>
        </w:tc>
        <w:tc>
          <w:tcPr>
            <w:tcW w:w="2706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490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462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24*2 mL金属适配器</w:t>
            </w:r>
          </w:p>
        </w:tc>
        <w:tc>
          <w:tcPr>
            <w:tcW w:w="2706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490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462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陶瓷珠及样品管。</w:t>
            </w:r>
          </w:p>
        </w:tc>
        <w:tc>
          <w:tcPr>
            <w:tcW w:w="2706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100个</w:t>
            </w:r>
          </w:p>
        </w:tc>
      </w:tr>
    </w:tbl>
    <w:p>
      <w:pPr>
        <w:pStyle w:val="3"/>
        <w:spacing w:line="440" w:lineRule="exact"/>
        <w:contextualSpacing/>
        <w:rPr>
          <w:sz w:val="28"/>
          <w:szCs w:val="28"/>
        </w:rPr>
      </w:pPr>
    </w:p>
    <w:p>
      <w:pPr>
        <w:pStyle w:val="3"/>
        <w:numPr>
          <w:ilvl w:val="0"/>
          <w:numId w:val="4"/>
        </w:numPr>
        <w:spacing w:line="440" w:lineRule="exact"/>
        <w:contextualSpacing/>
        <w:rPr>
          <w:rFonts w:ascii="宋体"/>
          <w:b/>
          <w:bCs/>
          <w:kern w:val="0"/>
          <w:sz w:val="28"/>
          <w:szCs w:val="28"/>
        </w:rPr>
      </w:pPr>
      <w:r>
        <w:rPr>
          <w:rFonts w:hint="eastAsia" w:ascii="宋体"/>
          <w:b/>
          <w:bCs/>
          <w:kern w:val="0"/>
          <w:sz w:val="28"/>
          <w:szCs w:val="28"/>
        </w:rPr>
        <w:t>保修期：保修贰年</w:t>
      </w:r>
    </w:p>
    <w:p>
      <w:pPr>
        <w:pStyle w:val="3"/>
        <w:numPr>
          <w:numId w:val="0"/>
        </w:numPr>
        <w:spacing w:line="440" w:lineRule="exact"/>
        <w:ind w:leftChars="0"/>
        <w:contextualSpacing/>
        <w:rPr>
          <w:rFonts w:hint="eastAsia" w:ascii="宋体"/>
          <w:b/>
          <w:bCs/>
          <w:kern w:val="0"/>
          <w:sz w:val="28"/>
          <w:szCs w:val="28"/>
        </w:rPr>
      </w:pPr>
    </w:p>
    <w:p>
      <w:pPr>
        <w:spacing w:line="440" w:lineRule="exact"/>
        <w:contextualSpacing/>
        <w:jc w:val="center"/>
        <w:outlineLvl w:val="0"/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耳内镜及耳钳</w:t>
      </w:r>
    </w:p>
    <w:p>
      <w:pPr>
        <w:spacing w:line="440" w:lineRule="exact"/>
        <w:contextualSpacing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一、用途</w:t>
      </w:r>
    </w:p>
    <w:p>
      <w:pPr>
        <w:widowControl/>
        <w:spacing w:line="440" w:lineRule="exact"/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适用于临床手术中的耳科检查、诊断和治疗用的一种腔镜仪器</w:t>
      </w:r>
    </w:p>
    <w:p>
      <w:pPr>
        <w:pStyle w:val="3"/>
        <w:spacing w:line="440" w:lineRule="exact"/>
        <w:contextualSpacing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二、数量：1套</w:t>
      </w:r>
    </w:p>
    <w:p>
      <w:pPr>
        <w:pStyle w:val="3"/>
        <w:spacing w:line="440" w:lineRule="exact"/>
        <w:contextualSpacing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三、技术要求</w:t>
      </w:r>
    </w:p>
    <w:p>
      <w:pPr>
        <w:widowControl/>
        <w:spacing w:line="440" w:lineRule="exact"/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1.1耳镜：直径1.9mm，长度10cm,0°直视内镜，可高温高压消毒。</w:t>
      </w:r>
    </w:p>
    <w:p>
      <w:pPr>
        <w:widowControl/>
        <w:spacing w:line="440" w:lineRule="exact"/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1.2耳钳：超精细型，圆形杯口状钳口，直径1mm，工作长度12.5cm。</w:t>
      </w:r>
    </w:p>
    <w:p>
      <w:pPr>
        <w:spacing w:line="440" w:lineRule="exact"/>
        <w:contextualSpacing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/>
          <w:b/>
          <w:bCs/>
          <w:kern w:val="0"/>
          <w:sz w:val="28"/>
          <w:szCs w:val="28"/>
        </w:rPr>
        <w:t>四、供货范围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清单</w:t>
      </w:r>
    </w:p>
    <w:tbl>
      <w:tblPr>
        <w:tblStyle w:val="7"/>
        <w:tblpPr w:leftFromText="180" w:rightFromText="180" w:vertAnchor="text" w:horzAnchor="page" w:tblpX="1661" w:tblpY="82"/>
        <w:tblOverlap w:val="never"/>
        <w:tblW w:w="91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5"/>
        <w:gridCol w:w="4793"/>
        <w:gridCol w:w="2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47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物料描述</w:t>
            </w:r>
          </w:p>
        </w:tc>
        <w:tc>
          <w:tcPr>
            <w:tcW w:w="280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</w:trPr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47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widowControl/>
              <w:spacing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耳镜</w:t>
            </w:r>
          </w:p>
        </w:tc>
        <w:tc>
          <w:tcPr>
            <w:tcW w:w="280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widowControl/>
              <w:spacing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</w:trPr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after="120"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47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widowControl/>
              <w:spacing w:line="440" w:lineRule="exact"/>
              <w:contextualSpacing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耳钳</w:t>
            </w:r>
          </w:p>
        </w:tc>
        <w:tc>
          <w:tcPr>
            <w:tcW w:w="280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</w:tcPr>
          <w:p>
            <w:pPr>
              <w:widowControl/>
              <w:spacing w:line="440" w:lineRule="exact"/>
              <w:contextualSpacing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</w:tr>
    </w:tbl>
    <w:p>
      <w:pPr>
        <w:pStyle w:val="3"/>
        <w:spacing w:line="440" w:lineRule="exact"/>
        <w:contextualSpacing/>
        <w:rPr>
          <w:sz w:val="28"/>
          <w:szCs w:val="28"/>
        </w:rPr>
      </w:pPr>
    </w:p>
    <w:p>
      <w:pPr>
        <w:pStyle w:val="3"/>
        <w:spacing w:line="440" w:lineRule="exact"/>
        <w:contextualSpacing/>
        <w:rPr>
          <w:rFonts w:ascii="宋体"/>
          <w:b/>
          <w:bCs/>
          <w:kern w:val="0"/>
          <w:sz w:val="28"/>
          <w:szCs w:val="28"/>
        </w:rPr>
      </w:pPr>
      <w:r>
        <w:rPr>
          <w:rFonts w:hint="eastAsia" w:ascii="宋体"/>
          <w:b/>
          <w:bCs/>
          <w:kern w:val="0"/>
          <w:sz w:val="28"/>
          <w:szCs w:val="28"/>
        </w:rPr>
        <w:t>五、保修期：保修贰年</w:t>
      </w:r>
    </w:p>
    <w:p>
      <w:pPr>
        <w:spacing w:line="440" w:lineRule="exact"/>
        <w:contextualSpacing/>
        <w:jc w:val="center"/>
        <w:outlineLvl w:val="0"/>
        <w:rPr>
          <w:rFonts w:hint="eastAsia" w:ascii="宋体" w:hAnsi="宋体" w:cs="宋体"/>
          <w:b/>
          <w:bCs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28"/>
          <w:szCs w:val="28"/>
        </w:rPr>
        <w:t>在体电生理检测系统</w:t>
      </w:r>
    </w:p>
    <w:bookmarkEnd w:id="0"/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用于自由活动状态下大小鼠的脑电（EEG）/肌电（EMG）</w:t>
      </w:r>
      <w:r>
        <w:t>/</w:t>
      </w:r>
      <w:r>
        <w:rPr>
          <w:rFonts w:hint="eastAsia"/>
        </w:rPr>
        <w:t>局部场电位（LFP）和单位放电（Spike）等神经电生理信号的记录。适用于神经行为学、毒理学、药理学等相关的研究。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*系统记录通道总数</w:t>
      </w:r>
      <w:r>
        <w:rPr>
          <w:color w:val="FF0000"/>
        </w:rPr>
        <w:t>64</w:t>
      </w:r>
      <w:r>
        <w:rPr>
          <w:rFonts w:hint="eastAsia"/>
        </w:rPr>
        <w:t>通道，支持扩展至</w:t>
      </w:r>
      <w:r>
        <w:t>512</w:t>
      </w:r>
      <w:r>
        <w:rPr>
          <w:rFonts w:hint="eastAsia"/>
        </w:rPr>
        <w:t>通道。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*提供</w:t>
      </w:r>
      <w:r>
        <w:rPr>
          <w:color w:val="FF0000"/>
        </w:rPr>
        <w:t>2</w:t>
      </w:r>
      <w:r>
        <w:rPr>
          <w:rFonts w:hint="eastAsia"/>
        </w:rPr>
        <w:t>个32通道的微型前置放大器，重量小于1g，可以用于自由活动的大小鼠脑电记录，配套线缆采用12芯的线缆，并且长度在2米以上，可通过延长线扩展到10米以上。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提供额外数字输入端口：至少具有</w:t>
      </w:r>
      <w:r>
        <w:t>1</w:t>
      </w:r>
      <w:r>
        <w:rPr>
          <w:rFonts w:hint="eastAsia"/>
        </w:rPr>
        <w:t>个16位数字输入端口（digital input），可与其他外部设备相连，如刺激系统，提供独立的外部触发输入，并全部支持TTL信号。额外数字输出端口：</w:t>
      </w:r>
      <w:r>
        <w:t>4</w:t>
      </w:r>
      <w:r>
        <w:rPr>
          <w:rFonts w:hint="eastAsia"/>
        </w:rPr>
        <w:t>个数字输出端口（digital output），辅助输入：</w:t>
      </w:r>
      <w:r>
        <w:t>16</w:t>
      </w:r>
      <w:r>
        <w:rPr>
          <w:rFonts w:hint="eastAsia"/>
        </w:rPr>
        <w:t>个辅助模拟输入（Analog input），辅助输出：</w:t>
      </w:r>
      <w:r>
        <w:t>16</w:t>
      </w:r>
      <w:r>
        <w:rPr>
          <w:rFonts w:hint="eastAsia"/>
        </w:rPr>
        <w:t>个辅助模拟输出（Analog output）。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数据采样率：每通道最高可达</w:t>
      </w:r>
      <w:r>
        <w:t>3</w:t>
      </w:r>
      <w:r>
        <w:rPr>
          <w:rFonts w:hint="eastAsia"/>
        </w:rPr>
        <w:t>0kHz，采样精度≥16bit，分辨率</w:t>
      </w:r>
      <w:r>
        <w:t>0.25uV</w:t>
      </w:r>
      <w:r>
        <w:rPr>
          <w:rFonts w:hint="eastAsia"/>
        </w:rPr>
        <w:t>，共模抑制比：≥90dB（0-60Hz）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放大器输入范围≥±5mV采集系统最大输入电压≥±5V，系统噪音：</w:t>
      </w:r>
      <w:r>
        <w:t>2uV RMS</w:t>
      </w:r>
      <w:r>
        <w:rPr>
          <w:rFonts w:hint="eastAsia"/>
        </w:rPr>
        <w:t>，输入阻抗：</w:t>
      </w:r>
      <w:r>
        <w:t>&gt;10GΩ／3pF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数据通讯：支持USB 3.0 数字信号传输和光纤数字信号传输。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采集软件提供多种手动和自动在线神经元甄别算法，包括Bar，area，PCA等，可以准确有效的对spike数据进行分析，每通道能够甄别的神经元无数量限制。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记录文件格式可以直接导入OfflineSorter和NeuroExplorer软件。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数据采集软件可以在线采集和分析多种电生理信号，提供终生免费升级服务。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提供1个调试用32独立通道神经信号模拟器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*配备光电一体换向器，供自由活动动物记录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*配备高性能电脑工作站一台</w:t>
      </w:r>
    </w:p>
    <w:p>
      <w:pPr>
        <w:pStyle w:val="12"/>
        <w:numPr>
          <w:ilvl w:val="0"/>
          <w:numId w:val="5"/>
        </w:numPr>
        <w:ind w:firstLineChars="0"/>
      </w:pPr>
      <w:r>
        <w:rPr>
          <w:rFonts w:hint="eastAsia"/>
        </w:rPr>
        <w:t>*配备Neuro</w:t>
      </w:r>
      <w:r>
        <w:t>Explorer</w:t>
      </w:r>
      <w:r>
        <w:rPr>
          <w:rFonts w:hint="eastAsia"/>
        </w:rPr>
        <w:t>神经信号分析软件一套。</w:t>
      </w:r>
    </w:p>
    <w:p>
      <w:r>
        <w:rPr>
          <w:rFonts w:hint="eastAsia"/>
        </w:rPr>
        <w:t>保修期：主机保5年，配件保2年。</w:t>
      </w:r>
    </w:p>
    <w:p>
      <w:pPr>
        <w:pStyle w:val="3"/>
        <w:spacing w:line="440" w:lineRule="exact"/>
        <w:contextualSpacing/>
        <w:rPr>
          <w:rFonts w:ascii="宋体"/>
          <w:b/>
          <w:bCs/>
          <w:kern w:val="0"/>
          <w:sz w:val="28"/>
          <w:szCs w:val="28"/>
        </w:rPr>
      </w:pPr>
    </w:p>
    <w:sectPr>
      <w:footerReference r:id="rId3" w:type="default"/>
      <w:pgSz w:w="11906" w:h="16838"/>
      <w:pgMar w:top="1077" w:right="1247" w:bottom="1077" w:left="1247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188487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17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13796C"/>
    <w:multiLevelType w:val="singleLevel"/>
    <w:tmpl w:val="8713796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13C35C5"/>
    <w:multiLevelType w:val="singleLevel"/>
    <w:tmpl w:val="A13C35C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BF5B52C"/>
    <w:multiLevelType w:val="singleLevel"/>
    <w:tmpl w:val="EBF5B52C"/>
    <w:lvl w:ilvl="0" w:tentative="0">
      <w:start w:val="5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3">
    <w:nsid w:val="32924686"/>
    <w:multiLevelType w:val="multilevel"/>
    <w:tmpl w:val="3292468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6F968B8"/>
    <w:multiLevelType w:val="multilevel"/>
    <w:tmpl w:val="56F968B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302F"/>
    <w:rsid w:val="002A1761"/>
    <w:rsid w:val="00323B43"/>
    <w:rsid w:val="003618A3"/>
    <w:rsid w:val="003D37D8"/>
    <w:rsid w:val="004358AB"/>
    <w:rsid w:val="00504D9E"/>
    <w:rsid w:val="00543EEF"/>
    <w:rsid w:val="006701F5"/>
    <w:rsid w:val="0070418D"/>
    <w:rsid w:val="007F79A1"/>
    <w:rsid w:val="008B7726"/>
    <w:rsid w:val="008D39CE"/>
    <w:rsid w:val="0097194A"/>
    <w:rsid w:val="00A0302F"/>
    <w:rsid w:val="00A852C3"/>
    <w:rsid w:val="00DC50B6"/>
    <w:rsid w:val="00E01BFD"/>
    <w:rsid w:val="00E15F91"/>
    <w:rsid w:val="00E37370"/>
    <w:rsid w:val="00F54E00"/>
    <w:rsid w:val="0602675B"/>
    <w:rsid w:val="09E96EAC"/>
    <w:rsid w:val="0E6849A8"/>
    <w:rsid w:val="1AA45803"/>
    <w:rsid w:val="295C6CF5"/>
    <w:rsid w:val="2C7C2FF7"/>
    <w:rsid w:val="37B52C06"/>
    <w:rsid w:val="3D131928"/>
    <w:rsid w:val="48564467"/>
    <w:rsid w:val="5CE965A1"/>
    <w:rsid w:val="61C84DD2"/>
    <w:rsid w:val="61FE6615"/>
    <w:rsid w:val="713C79A1"/>
    <w:rsid w:val="71E068BE"/>
    <w:rsid w:val="76D8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0"/>
    <w:pPr>
      <w:spacing w:line="360" w:lineRule="auto"/>
    </w:pPr>
    <w:rPr>
      <w:sz w:val="18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正文文本 Char"/>
    <w:basedOn w:val="9"/>
    <w:link w:val="3"/>
    <w:uiPriority w:val="0"/>
    <w:rPr>
      <w:rFonts w:ascii="Calibri" w:hAnsi="Calibri"/>
      <w:kern w:val="2"/>
      <w:sz w:val="18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1 Char"/>
    <w:basedOn w:val="9"/>
    <w:link w:val="2"/>
    <w:uiPriority w:val="0"/>
    <w:rPr>
      <w:rFonts w:ascii="Calibri" w:hAnsi="Calibri"/>
      <w:b/>
      <w:bCs/>
      <w:kern w:val="44"/>
      <w:sz w:val="44"/>
      <w:szCs w:val="44"/>
    </w:rPr>
  </w:style>
  <w:style w:type="paragraph" w:styleId="14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5">
    <w:name w:val="Table"/>
    <w:basedOn w:val="1"/>
    <w:qFormat/>
    <w:uiPriority w:val="0"/>
    <w:pPr>
      <w:keepLines/>
      <w:widowControl/>
      <w:spacing w:line="320" w:lineRule="atLeast"/>
      <w:jc w:val="left"/>
    </w:pPr>
    <w:rPr>
      <w:rFonts w:ascii="Helvetica" w:hAnsi="Helvetica"/>
      <w:kern w:val="0"/>
      <w:sz w:val="20"/>
      <w:lang w:val="en-GB" w:eastAsia="en-US"/>
    </w:rPr>
  </w:style>
  <w:style w:type="character" w:customStyle="1" w:styleId="16">
    <w:name w:val="页眉 Char"/>
    <w:basedOn w:val="9"/>
    <w:link w:val="5"/>
    <w:semiHidden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9"/>
    <w:link w:val="4"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List Paragraph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2333</Words>
  <Characters>13301</Characters>
  <Lines>110</Lines>
  <Paragraphs>31</Paragraphs>
  <TotalTime>0</TotalTime>
  <ScaleCrop>false</ScaleCrop>
  <LinksUpToDate>false</LinksUpToDate>
  <CharactersWithSpaces>15603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2021-07-08T01:05:00Z</dcterms:created>
  <dc:creator>admin</dc:creator>
  <cp:lastModifiedBy>3</cp:lastModifiedBy>
  <dcterms:modified xsi:type="dcterms:W3CDTF">2021-10-18T09:16:44Z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454F5F3E0FBF40DEB0089512A90AB3A5</vt:lpwstr>
  </property>
</Properties>
</file>