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r>
        <w:rPr>
          <w:rFonts w:hint="eastAsia"/>
          <w:b/>
          <w:sz w:val="36"/>
          <w:szCs w:val="36"/>
        </w:rPr>
        <w:t>全能</w:t>
      </w:r>
      <w:r>
        <w:rPr>
          <w:b/>
          <w:sz w:val="36"/>
          <w:szCs w:val="36"/>
        </w:rPr>
        <w:t>皮秒激光治疗平台</w:t>
      </w:r>
    </w:p>
    <w:p>
      <w:pPr>
        <w:numPr>
          <w:ilvl w:val="0"/>
          <w:numId w:val="1"/>
        </w:numPr>
        <w:spacing w:line="420" w:lineRule="exact"/>
        <w:rPr>
          <w:rFonts w:asciiTheme="minorEastAsia" w:hAnsiTheme="minorEastAsia"/>
          <w:sz w:val="28"/>
          <w:szCs w:val="28"/>
        </w:rPr>
      </w:pPr>
      <w:r>
        <w:rPr>
          <w:rFonts w:hint="eastAsia" w:asciiTheme="minorEastAsia" w:hAnsiTheme="minorEastAsia"/>
          <w:sz w:val="28"/>
          <w:szCs w:val="28"/>
        </w:rPr>
        <w:t>用途：色素性皮肤疾病包括黄褐斑、太田痣、颧部褐青色痣、咖啡斑等；</w:t>
      </w:r>
    </w:p>
    <w:p>
      <w:pPr>
        <w:numPr>
          <w:ilvl w:val="0"/>
          <w:numId w:val="1"/>
        </w:numPr>
        <w:spacing w:line="420" w:lineRule="exact"/>
        <w:rPr>
          <w:rFonts w:asciiTheme="minorEastAsia" w:hAnsiTheme="minorEastAsia"/>
          <w:sz w:val="28"/>
          <w:szCs w:val="28"/>
        </w:rPr>
      </w:pPr>
      <w:r>
        <w:rPr>
          <w:rFonts w:hint="eastAsia" w:asciiTheme="minorEastAsia" w:hAnsiTheme="minorEastAsia"/>
          <w:sz w:val="28"/>
          <w:szCs w:val="28"/>
        </w:rPr>
        <w:t>数量：壹套；</w:t>
      </w:r>
    </w:p>
    <w:p>
      <w:pPr>
        <w:numPr>
          <w:ilvl w:val="0"/>
          <w:numId w:val="1"/>
        </w:numPr>
        <w:spacing w:line="420" w:lineRule="exact"/>
        <w:rPr>
          <w:rFonts w:asciiTheme="minorEastAsia" w:hAnsiTheme="minorEastAsia"/>
          <w:sz w:val="28"/>
          <w:szCs w:val="28"/>
        </w:rPr>
      </w:pPr>
      <w:r>
        <w:rPr>
          <w:rFonts w:hint="eastAsia" w:asciiTheme="minorEastAsia" w:hAnsiTheme="minorEastAsia"/>
          <w:sz w:val="28"/>
          <w:szCs w:val="28"/>
        </w:rPr>
        <w:t>技术要求及参数：</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 xml:space="preserve">★1、激光器类型：Nd:YAG </w:t>
      </w:r>
    </w:p>
    <w:p>
      <w:pPr>
        <w:numPr>
          <w:ilvl w:val="0"/>
          <w:numId w:val="2"/>
        </w:num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波长1064nm+532nm</w:t>
      </w:r>
    </w:p>
    <w:p>
      <w:pPr>
        <w:numPr>
          <w:ilvl w:val="0"/>
          <w:numId w:val="2"/>
        </w:num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脉宽级别：皮秒</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 xml:space="preserve">▲4、最短脉宽: ≤450ps </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5、激光输出能量：≥400mj</w:t>
      </w:r>
    </w:p>
    <w:p>
      <w:pPr>
        <w:spacing w:line="420" w:lineRule="exact"/>
        <w:ind w:firstLine="532" w:firstLineChars="190"/>
        <w:rPr>
          <w:rFonts w:cs="Times New Roman" w:asciiTheme="minorEastAsia" w:hAnsiTheme="minorEastAsia"/>
          <w:color w:val="FF0000"/>
          <w:sz w:val="28"/>
          <w:szCs w:val="28"/>
        </w:rPr>
      </w:pPr>
      <w:r>
        <w:rPr>
          <w:rFonts w:hint="eastAsia" w:cs="Times New Roman" w:asciiTheme="minorEastAsia" w:hAnsiTheme="minorEastAsia"/>
          <w:sz w:val="28"/>
          <w:szCs w:val="28"/>
        </w:rPr>
        <w:t>▲6、激光输出最大峰值功率：≥1.35GW</w:t>
      </w:r>
      <w:r>
        <w:rPr>
          <w:rFonts w:hint="eastAsia" w:cs="微软雅黑" w:asciiTheme="minorEastAsia" w:hAnsiTheme="minorEastAsia"/>
          <w:sz w:val="28"/>
          <w:szCs w:val="28"/>
        </w:rPr>
        <w:t>±</w:t>
      </w:r>
      <w:r>
        <w:rPr>
          <w:rFonts w:hint="eastAsia" w:cs="Times New Roman" w:asciiTheme="minorEastAsia" w:hAnsiTheme="minorEastAsia"/>
          <w:sz w:val="28"/>
          <w:szCs w:val="28"/>
        </w:rPr>
        <w:t>0.1GW</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▲7、光斑尺寸：2mm-10mm可调，步进1mm</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8、脉冲重复频率：1HZ~10HZ可调，步进1HZ</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▲9、激光输出最大能量密度：≥12.5J/cm2</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10、输出能量密度：2mm-10mm独立可调</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11、光束输出模式：多模式</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12、脉冲输出方式：单脉冲和重复脉冲可选</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13、激光输出发散角：＜0.3rad</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14、瞄准光束：650 nm +20%，&lt;3.5mW</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15、开机预热时间 ≤2分钟</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16、激光传输系统：带手柄的导光臂</w:t>
      </w:r>
    </w:p>
    <w:p>
      <w:pPr>
        <w:spacing w:line="420" w:lineRule="exact"/>
        <w:ind w:firstLine="532" w:firstLineChars="190"/>
        <w:rPr>
          <w:rFonts w:cs="Times New Roman" w:asciiTheme="minorEastAsia" w:hAnsiTheme="minorEastAsia"/>
          <w:sz w:val="28"/>
          <w:szCs w:val="28"/>
        </w:rPr>
      </w:pPr>
      <w:r>
        <w:rPr>
          <w:rFonts w:hint="eastAsia" w:cs="Times New Roman" w:asciiTheme="minorEastAsia" w:hAnsiTheme="minorEastAsia"/>
          <w:sz w:val="28"/>
          <w:szCs w:val="28"/>
        </w:rPr>
        <w:t>17、图形化用户界面，彩色触摸屏</w:t>
      </w:r>
    </w:p>
    <w:p>
      <w:pPr>
        <w:numPr>
          <w:ilvl w:val="0"/>
          <w:numId w:val="1"/>
        </w:numPr>
        <w:spacing w:line="420" w:lineRule="exact"/>
        <w:rPr>
          <w:rFonts w:asciiTheme="minorEastAsia" w:hAnsiTheme="minorEastAsia"/>
          <w:sz w:val="28"/>
          <w:szCs w:val="28"/>
        </w:rPr>
      </w:pPr>
      <w:r>
        <w:rPr>
          <w:rFonts w:hint="eastAsia" w:asciiTheme="minorEastAsia" w:hAnsiTheme="minorEastAsia"/>
          <w:sz w:val="28"/>
          <w:szCs w:val="28"/>
        </w:rPr>
        <w:t>配置清单</w:t>
      </w:r>
    </w:p>
    <w:tbl>
      <w:tblPr>
        <w:tblStyle w:val="4"/>
        <w:tblpPr w:leftFromText="180" w:rightFromText="180" w:vertAnchor="text" w:horzAnchor="page" w:tblpX="2353" w:tblpY="290"/>
        <w:tblOverlap w:val="never"/>
        <w:tblW w:w="75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4045"/>
        <w:gridCol w:w="1219"/>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136" w:type="dxa"/>
            <w:shd w:val="clear" w:color="000000" w:fill="D9D9D9"/>
            <w:noWrap/>
            <w:vAlign w:val="center"/>
          </w:tcPr>
          <w:p>
            <w:pPr>
              <w:widowControl/>
              <w:jc w:val="center"/>
              <w:rPr>
                <w:rFonts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序号</w:t>
            </w:r>
          </w:p>
        </w:tc>
        <w:tc>
          <w:tcPr>
            <w:tcW w:w="4045" w:type="dxa"/>
            <w:shd w:val="clear" w:color="000000" w:fill="D9D9D9"/>
            <w:noWrap/>
            <w:vAlign w:val="center"/>
          </w:tcPr>
          <w:p>
            <w:pPr>
              <w:widowControl/>
              <w:jc w:val="center"/>
              <w:rPr>
                <w:rFonts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配置</w:t>
            </w:r>
          </w:p>
        </w:tc>
        <w:tc>
          <w:tcPr>
            <w:tcW w:w="1219" w:type="dxa"/>
            <w:shd w:val="clear" w:color="000000" w:fill="D9D9D9"/>
            <w:noWrap/>
            <w:vAlign w:val="center"/>
          </w:tcPr>
          <w:p>
            <w:pPr>
              <w:widowControl/>
              <w:jc w:val="center"/>
              <w:rPr>
                <w:rFonts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单位</w:t>
            </w:r>
          </w:p>
        </w:tc>
        <w:tc>
          <w:tcPr>
            <w:tcW w:w="1141" w:type="dxa"/>
            <w:shd w:val="clear" w:color="000000" w:fill="D9D9D9"/>
            <w:noWrap/>
            <w:vAlign w:val="center"/>
          </w:tcPr>
          <w:p>
            <w:pPr>
              <w:widowControl/>
              <w:jc w:val="center"/>
              <w:rPr>
                <w:rFonts w:cs="宋体" w:asciiTheme="minorEastAsia" w:hAnsiTheme="minorEastAsia"/>
                <w:b/>
                <w:bCs/>
                <w:color w:val="000000"/>
                <w:kern w:val="0"/>
                <w:sz w:val="28"/>
                <w:szCs w:val="28"/>
              </w:rPr>
            </w:pPr>
            <w:r>
              <w:rPr>
                <w:rFonts w:hint="eastAsia" w:cs="宋体" w:asciiTheme="minorEastAsia" w:hAnsiTheme="minorEastAsia"/>
                <w:b/>
                <w:bCs/>
                <w:color w:val="000000"/>
                <w:kern w:val="0"/>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Nd: YAG 皮秒激光治疗仪主机</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台</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导光臂</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个</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手柄</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套</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眼镜</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 xml:space="preserve">个 </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眼罩</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个</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6</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钥匙</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把</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7</w:t>
            </w:r>
          </w:p>
        </w:tc>
        <w:tc>
          <w:tcPr>
            <w:tcW w:w="4045"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钥匙扣</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个</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8</w:t>
            </w:r>
          </w:p>
        </w:tc>
        <w:tc>
          <w:tcPr>
            <w:tcW w:w="4045"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脚踏开关</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个</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9</w:t>
            </w:r>
          </w:p>
        </w:tc>
        <w:tc>
          <w:tcPr>
            <w:tcW w:w="4045"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激光标识</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套</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10</w:t>
            </w:r>
          </w:p>
        </w:tc>
        <w:tc>
          <w:tcPr>
            <w:tcW w:w="4045"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激光警示牌</w:t>
            </w:r>
          </w:p>
        </w:tc>
        <w:tc>
          <w:tcPr>
            <w:tcW w:w="1219"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个</w:t>
            </w:r>
          </w:p>
        </w:tc>
        <w:tc>
          <w:tcPr>
            <w:tcW w:w="1141"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11</w:t>
            </w:r>
          </w:p>
        </w:tc>
        <w:tc>
          <w:tcPr>
            <w:tcW w:w="4045"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电源线</w:t>
            </w:r>
          </w:p>
        </w:tc>
        <w:tc>
          <w:tcPr>
            <w:tcW w:w="1219"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根</w:t>
            </w:r>
          </w:p>
        </w:tc>
        <w:tc>
          <w:tcPr>
            <w:tcW w:w="1141"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12</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用户手册</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份</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136" w:type="dxa"/>
            <w:shd w:val="clear" w:color="auto" w:fill="auto"/>
            <w:noWrap/>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13</w:t>
            </w:r>
          </w:p>
        </w:tc>
        <w:tc>
          <w:tcPr>
            <w:tcW w:w="4045"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快速操作指南</w:t>
            </w:r>
          </w:p>
        </w:tc>
        <w:tc>
          <w:tcPr>
            <w:tcW w:w="1219"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份</w:t>
            </w:r>
          </w:p>
        </w:tc>
        <w:tc>
          <w:tcPr>
            <w:tcW w:w="1141" w:type="dxa"/>
            <w:shd w:val="clear" w:color="auto" w:fill="auto"/>
            <w:noWrap/>
            <w:vAlign w:val="center"/>
          </w:tcPr>
          <w:p>
            <w:pPr>
              <w:widowControl/>
              <w:jc w:val="center"/>
              <w:rPr>
                <w:rFonts w:cs="宋体" w:asciiTheme="minorEastAsia" w:hAnsiTheme="minorEastAsia"/>
                <w:kern w:val="0"/>
                <w:sz w:val="28"/>
                <w:szCs w:val="28"/>
              </w:rPr>
            </w:pPr>
            <w:r>
              <w:rPr>
                <w:rFonts w:hint="eastAsia" w:cs="宋体" w:asciiTheme="minorEastAsia" w:hAnsiTheme="minorEastAsia"/>
                <w:kern w:val="0"/>
                <w:sz w:val="28"/>
                <w:szCs w:val="28"/>
              </w:rPr>
              <w:t>1</w:t>
            </w:r>
          </w:p>
        </w:tc>
      </w:tr>
    </w:tbl>
    <w:p>
      <w:pPr>
        <w:rPr>
          <w:rFonts w:asciiTheme="minorEastAsia" w:hAnsiTheme="minorEastAsia"/>
          <w:sz w:val="28"/>
          <w:szCs w:val="28"/>
        </w:rPr>
      </w:pPr>
    </w:p>
    <w:p>
      <w:pPr>
        <w:numPr>
          <w:ilvl w:val="0"/>
          <w:numId w:val="1"/>
        </w:numPr>
        <w:rPr>
          <w:rFonts w:hint="eastAsia" w:asciiTheme="minorEastAsia" w:hAnsiTheme="minorEastAsia"/>
          <w:sz w:val="28"/>
          <w:szCs w:val="28"/>
        </w:rPr>
      </w:pPr>
      <w:r>
        <w:rPr>
          <w:rFonts w:hint="eastAsia" w:asciiTheme="minorEastAsia" w:hAnsiTheme="minorEastAsia"/>
          <w:sz w:val="28"/>
          <w:szCs w:val="28"/>
        </w:rPr>
        <w:t>保修期：两年（自验收合格之日起算）</w:t>
      </w:r>
    </w:p>
    <w:p>
      <w:pPr>
        <w:rPr>
          <w:rFonts w:hint="eastAsia" w:asciiTheme="minorEastAsia" w:hAnsiTheme="minorEastAsia"/>
          <w:b/>
          <w:sz w:val="36"/>
          <w:szCs w:val="36"/>
        </w:rPr>
      </w:pPr>
    </w:p>
    <w:p>
      <w:pPr>
        <w:spacing w:line="400" w:lineRule="exact"/>
        <w:contextualSpacing/>
        <w:jc w:val="center"/>
        <w:rPr>
          <w:rFonts w:hint="eastAsia" w:asciiTheme="minorEastAsia" w:hAnsiTheme="minorEastAsia"/>
          <w:b/>
          <w:bCs/>
          <w:sz w:val="36"/>
          <w:szCs w:val="36"/>
        </w:rPr>
      </w:pPr>
      <w:r>
        <w:rPr>
          <w:rFonts w:hint="eastAsia" w:asciiTheme="minorEastAsia" w:hAnsiTheme="minorEastAsia"/>
          <w:b/>
          <w:sz w:val="36"/>
          <w:szCs w:val="36"/>
        </w:rPr>
        <w:t>术中神经电生理监测系统</w:t>
      </w:r>
    </w:p>
    <w:p>
      <w:pPr>
        <w:numPr>
          <w:ilvl w:val="0"/>
          <w:numId w:val="3"/>
        </w:numPr>
        <w:spacing w:line="400" w:lineRule="exact"/>
        <w:contextualSpacing/>
        <w:rPr>
          <w:rFonts w:hint="eastAsia" w:asciiTheme="minorEastAsia" w:hAnsiTheme="minorEastAsia"/>
          <w:b/>
          <w:bCs/>
          <w:sz w:val="28"/>
          <w:szCs w:val="28"/>
        </w:rPr>
      </w:pPr>
      <w:r>
        <w:rPr>
          <w:rFonts w:hint="eastAsia" w:asciiTheme="minorEastAsia" w:hAnsiTheme="minorEastAsia"/>
          <w:b/>
          <w:bCs/>
          <w:sz w:val="28"/>
          <w:szCs w:val="28"/>
        </w:rPr>
        <w:t>用途</w:t>
      </w:r>
    </w:p>
    <w:p>
      <w:pPr>
        <w:spacing w:line="400" w:lineRule="exact"/>
        <w:ind w:firstLine="560" w:firstLineChars="200"/>
        <w:contextualSpacing/>
        <w:rPr>
          <w:rFonts w:hint="eastAsia" w:asciiTheme="minorEastAsia" w:hAnsiTheme="minorEastAsia"/>
          <w:b/>
          <w:bCs/>
          <w:sz w:val="28"/>
          <w:szCs w:val="28"/>
        </w:rPr>
      </w:pPr>
      <w:r>
        <w:rPr>
          <w:rFonts w:hint="eastAsia" w:asciiTheme="minorEastAsia" w:hAnsiTheme="minorEastAsia"/>
          <w:sz w:val="28"/>
          <w:szCs w:val="28"/>
        </w:rPr>
        <w:t>神经电生理监测系统应用于监测术中处于危险状态的神经系统功能的完整性。帮助手术医生辨别判断术中神经的功能及状态。及时提醒手术医生对术中神经的功能保护。其利用神经电生理学以及脑血液动力学的方法，了解神经传递过程中，电生理信号的变化，了解神经组织代谢功能的改变，了解神经血液灌流情况，从而有效地协助手术医师即时、全面的了解麻醉状态下病人神经功能的完整性。及时保障了患者术中神经的安全性，大大提高手术的安全性降低术中神经并发症的产生。</w:t>
      </w:r>
    </w:p>
    <w:p>
      <w:pPr>
        <w:numPr>
          <w:ilvl w:val="0"/>
          <w:numId w:val="3"/>
        </w:numPr>
        <w:spacing w:line="400" w:lineRule="exact"/>
        <w:contextualSpacing/>
        <w:rPr>
          <w:rFonts w:hint="eastAsia" w:asciiTheme="minorEastAsia" w:hAnsiTheme="minorEastAsia"/>
          <w:b/>
          <w:bCs/>
          <w:sz w:val="28"/>
          <w:szCs w:val="28"/>
        </w:rPr>
      </w:pPr>
      <w:r>
        <w:rPr>
          <w:rFonts w:hint="eastAsia" w:asciiTheme="minorEastAsia" w:hAnsiTheme="minorEastAsia"/>
          <w:b/>
          <w:bCs/>
          <w:sz w:val="28"/>
          <w:szCs w:val="28"/>
        </w:rPr>
        <w:t>数量：1套</w:t>
      </w:r>
    </w:p>
    <w:p>
      <w:pPr>
        <w:numPr>
          <w:ilvl w:val="0"/>
          <w:numId w:val="3"/>
        </w:numPr>
        <w:spacing w:line="400" w:lineRule="exact"/>
        <w:contextualSpacing/>
        <w:rPr>
          <w:rFonts w:hint="eastAsia" w:asciiTheme="minorEastAsia" w:hAnsiTheme="minorEastAsia"/>
          <w:b/>
          <w:bCs/>
          <w:sz w:val="28"/>
          <w:szCs w:val="28"/>
        </w:rPr>
      </w:pPr>
      <w:r>
        <w:rPr>
          <w:rFonts w:hint="eastAsia" w:asciiTheme="minorEastAsia" w:hAnsiTheme="minorEastAsia"/>
          <w:b/>
          <w:bCs/>
          <w:sz w:val="28"/>
          <w:szCs w:val="28"/>
        </w:rPr>
        <w:t>技术要求</w:t>
      </w:r>
    </w:p>
    <w:p>
      <w:pPr>
        <w:spacing w:line="400" w:lineRule="exact"/>
        <w:contextualSpacing/>
        <w:rPr>
          <w:rFonts w:asciiTheme="minorEastAsia" w:hAnsiTheme="minorEastAsia"/>
          <w:b/>
          <w:bCs/>
          <w:sz w:val="28"/>
          <w:szCs w:val="28"/>
        </w:rPr>
      </w:pPr>
    </w:p>
    <w:tbl>
      <w:tblPr>
        <w:tblStyle w:val="4"/>
        <w:tblW w:w="8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6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1.1</w:t>
            </w:r>
          </w:p>
        </w:tc>
        <w:tc>
          <w:tcPr>
            <w:tcW w:w="6906" w:type="dxa"/>
          </w:tcPr>
          <w:p>
            <w:pPr>
              <w:widowControl/>
              <w:spacing w:line="400" w:lineRule="exact"/>
              <w:contextualSpacing/>
              <w:jc w:val="left"/>
              <w:rPr>
                <w:rFonts w:asciiTheme="minorEastAsia" w:hAnsiTheme="minorEastAsia"/>
                <w:color w:val="000000"/>
                <w:sz w:val="28"/>
                <w:szCs w:val="28"/>
              </w:rPr>
            </w:pPr>
            <w:r>
              <w:rPr>
                <w:rFonts w:hint="eastAsia" w:asciiTheme="minorEastAsia" w:hAnsiTheme="minorEastAsia"/>
                <w:color w:val="000000"/>
                <w:sz w:val="28"/>
                <w:szCs w:val="28"/>
              </w:rPr>
              <w:t>电脑主机：双核 2.5G，4G内存，320G硬盘，DVD刻录机，15寸液晶显示器。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1.2</w:t>
            </w:r>
          </w:p>
        </w:tc>
        <w:tc>
          <w:tcPr>
            <w:tcW w:w="6906" w:type="dxa"/>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台车一套，打印机一套。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1.3</w:t>
            </w:r>
          </w:p>
        </w:tc>
        <w:tc>
          <w:tcPr>
            <w:tcW w:w="6906" w:type="dxa"/>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 xml:space="preserve">放大器：16通道，32道输入口，防溅入。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▲1.4</w:t>
            </w:r>
          </w:p>
        </w:tc>
        <w:tc>
          <w:tcPr>
            <w:tcW w:w="6906" w:type="dxa"/>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16通道放大器与头盒一体化，无需外接延长排线。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1.5</w:t>
            </w:r>
          </w:p>
        </w:tc>
        <w:tc>
          <w:tcPr>
            <w:tcW w:w="6906" w:type="dxa"/>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共模抑制比100dB，噪声电平20nV。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1.6</w:t>
            </w:r>
          </w:p>
        </w:tc>
        <w:tc>
          <w:tcPr>
            <w:tcW w:w="6906" w:type="dxa"/>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每通道最大恒压输出电压0-1000V（拒绝通过串联两个通道刺激输出或外接其他刺激器的方法），即可完成麻醉状态下MEP监测。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1.7</w:t>
            </w:r>
          </w:p>
        </w:tc>
        <w:tc>
          <w:tcPr>
            <w:tcW w:w="6906" w:type="dxa"/>
            <w:vAlign w:val="center"/>
          </w:tcPr>
          <w:p>
            <w:pPr>
              <w:widowControl/>
              <w:spacing w:line="400" w:lineRule="exact"/>
              <w:contextualSpacing/>
              <w:jc w:val="left"/>
              <w:rPr>
                <w:rFonts w:asciiTheme="minorEastAsia" w:hAnsiTheme="minorEastAsia"/>
                <w:sz w:val="28"/>
                <w:szCs w:val="28"/>
              </w:rPr>
            </w:pPr>
            <w:r>
              <w:rPr>
                <w:rFonts w:hint="eastAsia" w:asciiTheme="minorEastAsia" w:hAnsiTheme="minorEastAsia"/>
                <w:sz w:val="28"/>
                <w:szCs w:val="28"/>
              </w:rPr>
              <w:t>配置视频采集适配器，可同步回放影像和电生理信号。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1.8</w:t>
            </w:r>
          </w:p>
        </w:tc>
        <w:tc>
          <w:tcPr>
            <w:tcW w:w="6906" w:type="dxa"/>
            <w:vAlign w:val="center"/>
          </w:tcPr>
          <w:p>
            <w:pPr>
              <w:widowControl/>
              <w:spacing w:line="400" w:lineRule="exact"/>
              <w:contextualSpacing/>
              <w:jc w:val="left"/>
              <w:rPr>
                <w:rFonts w:asciiTheme="minorEastAsia" w:hAnsiTheme="minorEastAsia"/>
                <w:sz w:val="28"/>
                <w:szCs w:val="28"/>
              </w:rPr>
            </w:pPr>
            <w:r>
              <w:rPr>
                <w:rFonts w:hint="eastAsia" w:asciiTheme="minorEastAsia" w:hAnsiTheme="minorEastAsia"/>
                <w:sz w:val="28"/>
                <w:szCs w:val="28"/>
              </w:rPr>
              <w:t>支持诱发电位、肌电图、脑电图、运动诱发电位等同时监测。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1.9</w:t>
            </w:r>
          </w:p>
        </w:tc>
        <w:tc>
          <w:tcPr>
            <w:tcW w:w="6906" w:type="dxa"/>
            <w:vAlign w:val="center"/>
          </w:tcPr>
          <w:p>
            <w:pPr>
              <w:widowControl/>
              <w:spacing w:line="400" w:lineRule="exact"/>
              <w:contextualSpacing/>
              <w:jc w:val="left"/>
              <w:rPr>
                <w:rFonts w:asciiTheme="minorEastAsia" w:hAnsiTheme="minorEastAsia"/>
                <w:sz w:val="28"/>
                <w:szCs w:val="28"/>
              </w:rPr>
            </w:pPr>
            <w:r>
              <w:rPr>
                <w:rFonts w:hint="eastAsia" w:asciiTheme="minorEastAsia" w:hAnsiTheme="minorEastAsia"/>
                <w:sz w:val="28"/>
                <w:szCs w:val="28"/>
              </w:rPr>
              <w:t>数据自动存储和保护功能，断电后再度开机数据自动恢复。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1.10</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记录电极及刺激电极脱落自动报警。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1.11</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自动伪迹抑制功能。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1.12</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专用防电刀干扰探头。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1.13</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报告系统和病员数据库。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▲1.14</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可以与</w:t>
            </w:r>
            <w:bookmarkStart w:id="0" w:name="_GoBack"/>
            <w:bookmarkEnd w:id="0"/>
            <w:r>
              <w:rPr>
                <w:rFonts w:hint="eastAsia" w:asciiTheme="minorEastAsia" w:hAnsiTheme="minorEastAsia"/>
                <w:sz w:val="28"/>
                <w:szCs w:val="28"/>
              </w:rPr>
              <w:t>导航软件同步结合，精确定位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263" w:type="dxa"/>
            <w:vAlign w:val="center"/>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▲1.15</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双模式运行软件：模块化易用版（在线帮助电极安装和阻抗测试）和专业多功能版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1.16</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工作单元与电脑软件分析主机之间数据传输：高速USB电缆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3" w:type="dxa"/>
            <w:vAlign w:val="center"/>
          </w:tcPr>
          <w:p>
            <w:pPr>
              <w:spacing w:line="400" w:lineRule="exact"/>
              <w:ind w:firstLine="420"/>
              <w:contextualSpacing/>
              <w:rPr>
                <w:rFonts w:asciiTheme="minorEastAsia" w:hAnsiTheme="minorEastAsia"/>
                <w:sz w:val="28"/>
                <w:szCs w:val="28"/>
              </w:rPr>
            </w:pPr>
            <w:r>
              <w:rPr>
                <w:rFonts w:hint="eastAsia" w:asciiTheme="minorEastAsia" w:hAnsiTheme="minorEastAsia"/>
                <w:sz w:val="28"/>
                <w:szCs w:val="28"/>
              </w:rPr>
              <w:t>1.17</w:t>
            </w:r>
          </w:p>
        </w:tc>
        <w:tc>
          <w:tcPr>
            <w:tcW w:w="6906" w:type="dxa"/>
            <w:vAlign w:val="center"/>
          </w:tcPr>
          <w:p>
            <w:pPr>
              <w:spacing w:line="400" w:lineRule="exact"/>
              <w:contextualSpacing/>
              <w:rPr>
                <w:rFonts w:asciiTheme="minorEastAsia" w:hAnsiTheme="minorEastAsia"/>
                <w:sz w:val="28"/>
                <w:szCs w:val="28"/>
              </w:rPr>
            </w:pPr>
            <w:r>
              <w:rPr>
                <w:rFonts w:hint="eastAsia" w:asciiTheme="minorEastAsia" w:hAnsiTheme="minorEastAsia"/>
                <w:sz w:val="28"/>
                <w:szCs w:val="28"/>
              </w:rPr>
              <w:t>提供16通道设备主机。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▲2.1</w:t>
            </w:r>
          </w:p>
        </w:tc>
        <w:tc>
          <w:tcPr>
            <w:tcW w:w="6906" w:type="dxa"/>
            <w:vAlign w:val="center"/>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原厂中文操作界面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asciiTheme="minorEastAsia" w:hAnsiTheme="minorEastAsia"/>
                <w:sz w:val="28"/>
                <w:szCs w:val="28"/>
              </w:rPr>
            </w:pPr>
            <w:r>
              <w:rPr>
                <w:rFonts w:hint="eastAsia" w:asciiTheme="minorEastAsia" w:hAnsiTheme="minorEastAsia"/>
                <w:sz w:val="28"/>
                <w:szCs w:val="28"/>
              </w:rPr>
              <w:t>2.2</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诱发电位术中监护（体感、听觉、视觉）。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asciiTheme="minorEastAsia" w:hAnsiTheme="minorEastAsia"/>
                <w:sz w:val="28"/>
                <w:szCs w:val="28"/>
              </w:rPr>
            </w:pPr>
            <w:r>
              <w:rPr>
                <w:rFonts w:hint="eastAsia" w:asciiTheme="minorEastAsia" w:hAnsiTheme="minorEastAsia"/>
                <w:sz w:val="28"/>
                <w:szCs w:val="28"/>
              </w:rPr>
              <w:t>2.3</w:t>
            </w:r>
          </w:p>
        </w:tc>
        <w:tc>
          <w:tcPr>
            <w:tcW w:w="6906" w:type="dxa"/>
            <w:vAlign w:val="center"/>
          </w:tcPr>
          <w:p>
            <w:pPr>
              <w:spacing w:line="400" w:lineRule="exact"/>
              <w:contextualSpacing/>
              <w:rPr>
                <w:rFonts w:hint="eastAsia" w:asciiTheme="minorEastAsia" w:hAnsiTheme="minorEastAsia"/>
                <w:sz w:val="28"/>
                <w:szCs w:val="28"/>
              </w:rPr>
            </w:pPr>
            <w:r>
              <w:rPr>
                <w:rFonts w:hint="eastAsia" w:asciiTheme="minorEastAsia" w:hAnsiTheme="minorEastAsia"/>
                <w:sz w:val="28"/>
                <w:szCs w:val="28"/>
              </w:rPr>
              <w:t>肌电图、刺激肌电图术中监护。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2.4</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经颅电刺激运动诱发电位术中监测。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2.5</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脑电术中监测，包括CSA、DSA、CDSA分析。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2.6</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脑电边界功率、峰值功率、相干分析及爆发抑制分析实时监测。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2.7</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麻醉深度监测。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2.8</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TOF试验肌松监测。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263" w:type="dxa"/>
            <w:vAlign w:val="center"/>
          </w:tcPr>
          <w:p>
            <w:pPr>
              <w:spacing w:line="400" w:lineRule="exact"/>
              <w:ind w:firstLine="420"/>
              <w:contextualSpacing/>
              <w:rPr>
                <w:rFonts w:hint="eastAsia" w:asciiTheme="minorEastAsia" w:hAnsiTheme="minorEastAsia"/>
                <w:sz w:val="28"/>
                <w:szCs w:val="28"/>
              </w:rPr>
            </w:pPr>
            <w:r>
              <w:rPr>
                <w:rFonts w:hint="eastAsia" w:asciiTheme="minorEastAsia" w:hAnsiTheme="minorEastAsia"/>
                <w:sz w:val="28"/>
                <w:szCs w:val="28"/>
              </w:rPr>
              <w:t>2.9</w:t>
            </w:r>
          </w:p>
        </w:tc>
        <w:tc>
          <w:tcPr>
            <w:tcW w:w="6906" w:type="dxa"/>
            <w:vAlign w:val="center"/>
          </w:tcPr>
          <w:p>
            <w:pPr>
              <w:widowControl/>
              <w:spacing w:line="400" w:lineRule="exact"/>
              <w:contextualSpacing/>
              <w:jc w:val="left"/>
              <w:rPr>
                <w:rFonts w:hint="eastAsia" w:asciiTheme="minorEastAsia" w:hAnsiTheme="minorEastAsia"/>
                <w:sz w:val="28"/>
                <w:szCs w:val="28"/>
              </w:rPr>
            </w:pPr>
            <w:r>
              <w:rPr>
                <w:rFonts w:hint="eastAsia" w:asciiTheme="minorEastAsia" w:hAnsiTheme="minorEastAsia"/>
                <w:sz w:val="28"/>
                <w:szCs w:val="28"/>
              </w:rPr>
              <w:t>H反射术中监测。</w:t>
            </w:r>
          </w:p>
        </w:tc>
      </w:tr>
    </w:tbl>
    <w:p>
      <w:pPr>
        <w:spacing w:line="400" w:lineRule="exact"/>
        <w:contextualSpacing/>
        <w:rPr>
          <w:rFonts w:asciiTheme="minorEastAsia" w:hAnsiTheme="minorEastAsia"/>
          <w:b/>
          <w:bCs/>
          <w:sz w:val="28"/>
          <w:szCs w:val="28"/>
        </w:rPr>
      </w:pPr>
    </w:p>
    <w:p>
      <w:pPr>
        <w:numPr>
          <w:ilvl w:val="0"/>
          <w:numId w:val="3"/>
        </w:numPr>
        <w:spacing w:line="400" w:lineRule="exact"/>
        <w:contextualSpacing/>
        <w:rPr>
          <w:rFonts w:asciiTheme="minorEastAsia" w:hAnsiTheme="minorEastAsia"/>
          <w:b/>
          <w:bCs/>
          <w:sz w:val="28"/>
          <w:szCs w:val="28"/>
        </w:rPr>
      </w:pPr>
      <w:r>
        <w:rPr>
          <w:rFonts w:hint="eastAsia" w:asciiTheme="minorEastAsia" w:hAnsiTheme="minorEastAsia"/>
          <w:b/>
          <w:bCs/>
          <w:sz w:val="28"/>
          <w:szCs w:val="28"/>
        </w:rPr>
        <w:t>配置清单</w:t>
      </w:r>
    </w:p>
    <w:tbl>
      <w:tblPr>
        <w:tblStyle w:val="4"/>
        <w:tblW w:w="8000" w:type="dxa"/>
        <w:tblInd w:w="0" w:type="dxa"/>
        <w:tblLayout w:type="autofit"/>
        <w:tblCellMar>
          <w:top w:w="0" w:type="dxa"/>
          <w:left w:w="0" w:type="dxa"/>
          <w:bottom w:w="0" w:type="dxa"/>
          <w:right w:w="0" w:type="dxa"/>
        </w:tblCellMar>
      </w:tblPr>
      <w:tblGrid>
        <w:gridCol w:w="1262"/>
        <w:gridCol w:w="5795"/>
        <w:gridCol w:w="943"/>
      </w:tblGrid>
      <w:tr>
        <w:tblPrEx>
          <w:tblCellMar>
            <w:top w:w="0" w:type="dxa"/>
            <w:left w:w="0" w:type="dxa"/>
            <w:bottom w:w="0" w:type="dxa"/>
            <w:right w:w="0" w:type="dxa"/>
          </w:tblCellMar>
        </w:tblPrEx>
        <w:trPr>
          <w:trHeight w:val="629" w:hRule="atLeast"/>
        </w:trPr>
        <w:tc>
          <w:tcPr>
            <w:tcW w:w="8000" w:type="dxa"/>
            <w:gridSpan w:val="3"/>
            <w:tcBorders>
              <w:top w:val="nil"/>
              <w:left w:val="nil"/>
              <w:bottom w:val="nil"/>
              <w:right w:val="nil"/>
            </w:tcBorders>
            <w:noWrap/>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b/>
                <w:color w:val="000000"/>
                <w:sz w:val="28"/>
                <w:szCs w:val="28"/>
              </w:rPr>
            </w:pPr>
            <w:r>
              <w:rPr>
                <w:rFonts w:hint="eastAsia" w:cs="宋体" w:asciiTheme="minorEastAsia" w:hAnsiTheme="minorEastAsia"/>
                <w:b/>
                <w:color w:val="000000"/>
                <w:kern w:val="0"/>
                <w:sz w:val="28"/>
                <w:szCs w:val="28"/>
              </w:rPr>
              <w:t>配置清单</w:t>
            </w:r>
          </w:p>
        </w:tc>
      </w:tr>
      <w:tr>
        <w:tblPrEx>
          <w:tblCellMar>
            <w:top w:w="0" w:type="dxa"/>
            <w:left w:w="0" w:type="dxa"/>
            <w:bottom w:w="0" w:type="dxa"/>
            <w:right w:w="0" w:type="dxa"/>
          </w:tblCellMar>
        </w:tblPrEx>
        <w:trPr>
          <w:trHeight w:val="639" w:hRule="atLeast"/>
        </w:trPr>
        <w:tc>
          <w:tcPr>
            <w:tcW w:w="1262" w:type="dxa"/>
            <w:tcBorders>
              <w:top w:val="single" w:color="000000" w:sz="4" w:space="0"/>
              <w:left w:val="single" w:color="000000" w:sz="4" w:space="0"/>
              <w:bottom w:val="single" w:color="000000" w:sz="4" w:space="0"/>
              <w:right w:val="single" w:color="000000" w:sz="4" w:space="0"/>
            </w:tcBorders>
            <w:shd w:val="clear" w:color="auto" w:fill="E2EFDA"/>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b/>
                <w:color w:val="000000"/>
                <w:sz w:val="28"/>
                <w:szCs w:val="28"/>
              </w:rPr>
            </w:pPr>
            <w:r>
              <w:rPr>
                <w:rFonts w:hint="eastAsia" w:cs="宋体" w:asciiTheme="minorEastAsia" w:hAnsiTheme="minorEastAsia"/>
                <w:b/>
                <w:color w:val="000000"/>
                <w:sz w:val="28"/>
                <w:szCs w:val="28"/>
              </w:rPr>
              <w:t>序号</w:t>
            </w:r>
          </w:p>
        </w:tc>
        <w:tc>
          <w:tcPr>
            <w:tcW w:w="5795" w:type="dxa"/>
            <w:tcBorders>
              <w:top w:val="single" w:color="000000" w:sz="4" w:space="0"/>
              <w:left w:val="single" w:color="000000" w:sz="4" w:space="0"/>
              <w:bottom w:val="single" w:color="000000" w:sz="4" w:space="0"/>
              <w:right w:val="single" w:color="000000" w:sz="4" w:space="0"/>
            </w:tcBorders>
            <w:shd w:val="clear" w:color="auto" w:fill="E2EFDA"/>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b/>
                <w:color w:val="000000"/>
                <w:sz w:val="28"/>
                <w:szCs w:val="28"/>
              </w:rPr>
            </w:pPr>
            <w:r>
              <w:rPr>
                <w:rFonts w:hint="eastAsia" w:cs="宋体" w:asciiTheme="minorEastAsia" w:hAnsiTheme="minorEastAsia"/>
                <w:b/>
                <w:color w:val="000000"/>
                <w:kern w:val="0"/>
                <w:sz w:val="28"/>
                <w:szCs w:val="28"/>
              </w:rPr>
              <w:t>产    品    名    称</w:t>
            </w:r>
          </w:p>
        </w:tc>
        <w:tc>
          <w:tcPr>
            <w:tcW w:w="943" w:type="dxa"/>
            <w:tcBorders>
              <w:top w:val="single" w:color="000000" w:sz="4" w:space="0"/>
              <w:left w:val="single" w:color="000000" w:sz="4" w:space="0"/>
              <w:bottom w:val="single" w:color="000000" w:sz="4" w:space="0"/>
              <w:right w:val="single" w:color="000000" w:sz="4" w:space="0"/>
            </w:tcBorders>
            <w:shd w:val="clear" w:color="auto" w:fill="E2EFDA"/>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b/>
                <w:color w:val="000000"/>
                <w:sz w:val="28"/>
                <w:szCs w:val="28"/>
              </w:rPr>
            </w:pPr>
            <w:r>
              <w:rPr>
                <w:rFonts w:hint="eastAsia" w:cs="宋体" w:asciiTheme="minorEastAsia" w:hAnsiTheme="minorEastAsia"/>
                <w:b/>
                <w:color w:val="000000"/>
                <w:kern w:val="0"/>
                <w:sz w:val="28"/>
                <w:szCs w:val="28"/>
              </w:rPr>
              <w:t>数量</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系统-控制器</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2</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笔记本电脑</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3</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数字前置放大器</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4</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电缆线-前置放大器</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5</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刺激器扩充器</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6</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电缆线-刺激器扩充器</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7</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静音检测探针</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8</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鼠标</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9</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阻抗测试接头</w:t>
            </w:r>
          </w:p>
        </w:tc>
        <w:tc>
          <w:tcPr>
            <w:tcW w:w="9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kern w:val="0"/>
                <w:sz w:val="28"/>
                <w:szCs w:val="28"/>
              </w:rPr>
            </w:pPr>
            <w:r>
              <w:rPr>
                <w:rFonts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10</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声刺激耳机</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sz w:val="28"/>
                <w:szCs w:val="28"/>
              </w:rPr>
            </w:pPr>
            <w:r>
              <w:rPr>
                <w:rFonts w:hint="eastAsia" w:cs="宋体" w:asciiTheme="minorEastAsia" w:hAnsiTheme="minorEastAsia"/>
                <w:color w:val="000000"/>
                <w:kern w:val="0"/>
                <w:sz w:val="28"/>
                <w:szCs w:val="28"/>
              </w:rPr>
              <w:t>11</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sz w:val="28"/>
                <w:szCs w:val="28"/>
              </w:rPr>
            </w:pPr>
            <w:r>
              <w:rPr>
                <w:rFonts w:hint="eastAsia" w:cs="宋体" w:asciiTheme="minorEastAsia" w:hAnsiTheme="minorEastAsia"/>
                <w:color w:val="000000"/>
                <w:sz w:val="28"/>
                <w:szCs w:val="28"/>
              </w:rPr>
              <w:t>视觉刺激眼镜</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sz w:val="28"/>
                <w:szCs w:val="28"/>
              </w:rPr>
            </w:pPr>
            <w:r>
              <w:rPr>
                <w:rFonts w:hint="eastAsia" w:cs="宋体" w:asciiTheme="minorEastAsia" w:hAnsiTheme="minorEastAsia"/>
                <w:color w:val="000000"/>
                <w:kern w:val="0"/>
                <w:sz w:val="28"/>
                <w:szCs w:val="28"/>
              </w:rPr>
              <w:t>12</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1.2M 螺旋形电极(24个/包)</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sz w:val="28"/>
                <w:szCs w:val="28"/>
              </w:rPr>
            </w:pPr>
            <w:r>
              <w:rPr>
                <w:rFonts w:hint="eastAsia" w:cs="宋体" w:asciiTheme="minorEastAsia" w:hAnsiTheme="minorEastAsia"/>
                <w:color w:val="000000"/>
                <w:kern w:val="0"/>
                <w:sz w:val="28"/>
                <w:szCs w:val="28"/>
              </w:rPr>
              <w:t>13</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13MM 27G 2.0M 双针式电极 (12 对/盒)</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sz w:val="28"/>
                <w:szCs w:val="28"/>
              </w:rPr>
            </w:pPr>
            <w:r>
              <w:rPr>
                <w:rFonts w:hint="eastAsia" w:cs="宋体" w:asciiTheme="minorEastAsia" w:hAnsiTheme="minorEastAsia"/>
                <w:color w:val="000000"/>
                <w:kern w:val="0"/>
                <w:sz w:val="28"/>
                <w:szCs w:val="28"/>
              </w:rPr>
              <w:t>14</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单极 针直径27G 电缆长度1.5M</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15</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单极 针直径27G 电缆长度2.5M</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hint="eastAsia" w:cs="宋体" w:asciiTheme="minorEastAsia" w:hAnsiTheme="minorEastAsia"/>
                <w:color w:val="000000"/>
                <w:sz w:val="28"/>
                <w:szCs w:val="28"/>
              </w:rPr>
            </w:pPr>
            <w:r>
              <w:rPr>
                <w:rFonts w:hint="eastAsia" w:cs="宋体" w:asciiTheme="minorEastAsia" w:hAnsiTheme="minorEastAsia"/>
                <w:color w:val="000000"/>
                <w:kern w:val="0"/>
                <w:sz w:val="28"/>
                <w:szCs w:val="28"/>
              </w:rPr>
              <w:t xml:space="preserve">1 </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16</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神经探头 探针长度100MM(1个/包）</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17</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双极探头 探针长度100MM（1个/包）</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18</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椎弓根探头 探针长度175MM（1个/包）</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19</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国产台车</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20</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打印机</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r>
        <w:tblPrEx>
          <w:tblCellMar>
            <w:top w:w="0" w:type="dxa"/>
            <w:left w:w="0" w:type="dxa"/>
            <w:bottom w:w="0" w:type="dxa"/>
            <w:right w:w="0" w:type="dxa"/>
          </w:tblCellMar>
        </w:tblPrEx>
        <w:trPr>
          <w:trHeight w:val="476" w:hRule="atLeast"/>
        </w:trPr>
        <w:tc>
          <w:tcPr>
            <w:tcW w:w="12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center"/>
              <w:textAlignment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21</w:t>
            </w:r>
          </w:p>
        </w:tc>
        <w:tc>
          <w:tcPr>
            <w:tcW w:w="5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contextualSpacing/>
              <w:jc w:val="left"/>
              <w:textAlignment w:val="center"/>
              <w:rPr>
                <w:rFonts w:hint="eastAsia" w:cs="宋体" w:asciiTheme="minorEastAsia" w:hAnsiTheme="minorEastAsia"/>
                <w:color w:val="000000"/>
                <w:kern w:val="0"/>
                <w:sz w:val="28"/>
                <w:szCs w:val="28"/>
              </w:rPr>
            </w:pPr>
            <w:r>
              <w:rPr>
                <w:rFonts w:hint="eastAsia" w:cs="宋体" w:asciiTheme="minorEastAsia" w:hAnsiTheme="minorEastAsia"/>
                <w:color w:val="000000"/>
                <w:kern w:val="0"/>
                <w:sz w:val="28"/>
                <w:szCs w:val="28"/>
              </w:rPr>
              <w:t>软件（NS）</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pPr>
              <w:widowControl/>
              <w:spacing w:line="400" w:lineRule="exact"/>
              <w:contextualSpacing/>
              <w:jc w:val="center"/>
              <w:textAlignment w:val="bottom"/>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r>
    </w:tbl>
    <w:p>
      <w:pPr>
        <w:spacing w:line="400" w:lineRule="exact"/>
        <w:contextualSpacing/>
        <w:rPr>
          <w:rFonts w:asciiTheme="minorEastAsia" w:hAnsiTheme="minorEastAsia"/>
          <w:b/>
          <w:bCs/>
          <w:sz w:val="28"/>
          <w:szCs w:val="28"/>
        </w:rPr>
      </w:pPr>
    </w:p>
    <w:p>
      <w:pPr>
        <w:rPr>
          <w:rFonts w:asciiTheme="minorEastAsia" w:hAnsiTheme="minorEastAsia"/>
          <w:sz w:val="28"/>
          <w:szCs w:val="28"/>
        </w:rPr>
      </w:pPr>
    </w:p>
    <w:sectPr>
      <w:footerReference r:id="rId3" w:type="default"/>
      <w:pgSz w:w="11906" w:h="16838"/>
      <w:pgMar w:top="1191" w:right="1304" w:bottom="119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swiss"/>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948548"/>
      <w:docPartObj>
        <w:docPartGallery w:val="AutoText"/>
      </w:docPartObj>
    </w:sdtPr>
    <w:sdtContent>
      <w:p>
        <w:pPr>
          <w:pStyle w:val="2"/>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0EAD7A"/>
    <w:multiLevelType w:val="singleLevel"/>
    <w:tmpl w:val="870EAD7A"/>
    <w:lvl w:ilvl="0" w:tentative="0">
      <w:start w:val="1"/>
      <w:numFmt w:val="chineseCounting"/>
      <w:suff w:val="nothing"/>
      <w:lvlText w:val="%1、"/>
      <w:lvlJc w:val="left"/>
      <w:rPr>
        <w:rFonts w:hint="eastAsia"/>
      </w:rPr>
    </w:lvl>
  </w:abstractNum>
  <w:abstractNum w:abstractNumId="1">
    <w:nsid w:val="A6A4769C"/>
    <w:multiLevelType w:val="singleLevel"/>
    <w:tmpl w:val="A6A4769C"/>
    <w:lvl w:ilvl="0" w:tentative="0">
      <w:start w:val="2"/>
      <w:numFmt w:val="decimal"/>
      <w:suff w:val="nothing"/>
      <w:lvlText w:val="%1、"/>
      <w:lvlJc w:val="left"/>
    </w:lvl>
  </w:abstractNum>
  <w:abstractNum w:abstractNumId="2">
    <w:nsid w:val="3B807BD6"/>
    <w:multiLevelType w:val="singleLevel"/>
    <w:tmpl w:val="3B807BD6"/>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5BA74C80"/>
    <w:rsid w:val="002A4D42"/>
    <w:rsid w:val="005973E8"/>
    <w:rsid w:val="056A420E"/>
    <w:rsid w:val="05A71229"/>
    <w:rsid w:val="06A72D56"/>
    <w:rsid w:val="07F60F72"/>
    <w:rsid w:val="08E5690F"/>
    <w:rsid w:val="0EEE7EA9"/>
    <w:rsid w:val="10372179"/>
    <w:rsid w:val="17A92584"/>
    <w:rsid w:val="17BB5F50"/>
    <w:rsid w:val="1CA17072"/>
    <w:rsid w:val="1D14270F"/>
    <w:rsid w:val="200C302F"/>
    <w:rsid w:val="213A03CD"/>
    <w:rsid w:val="24CB519C"/>
    <w:rsid w:val="29993C95"/>
    <w:rsid w:val="2B992E49"/>
    <w:rsid w:val="3F047743"/>
    <w:rsid w:val="40F02984"/>
    <w:rsid w:val="4ED24101"/>
    <w:rsid w:val="512079A9"/>
    <w:rsid w:val="526D5FEB"/>
    <w:rsid w:val="5BA74C80"/>
    <w:rsid w:val="70626708"/>
    <w:rsid w:val="7F5D15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1398</Words>
  <Characters>550</Characters>
  <Lines>4</Lines>
  <Paragraphs>3</Paragraphs>
  <TotalTime>14</TotalTime>
  <ScaleCrop>false</ScaleCrop>
  <LinksUpToDate>false</LinksUpToDate>
  <CharactersWithSpaces>1945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2021-09-16T08:08:00Z</dcterms:created>
  <dc:creator>shelly</dc:creator>
  <cp:lastModifiedBy>晨语</cp:lastModifiedBy>
  <cp:lastPrinted>2021-09-16T08:02:00Z</cp:lastPrinted>
  <dcterms:modified xsi:type="dcterms:W3CDTF">2021-10-12T00:38:29Z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7B1EB2BD6FA74C09AFF217C844F2ADA2</vt:lpwstr>
  </property>
</Properties>
</file>