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0CCCD">
      <w:pPr>
        <w:keepNext w:val="0"/>
        <w:keepLines w:val="0"/>
        <w:widowControl w:val="0"/>
        <w:suppressLineNumbers w:val="0"/>
        <w:adjustRightInd w:val="0"/>
        <w:snapToGrid w:val="0"/>
        <w:spacing w:before="120" w:beforeLines="50" w:beforeAutospacing="0" w:after="120" w:afterLines="50" w:afterAutospacing="0" w:line="360" w:lineRule="auto"/>
        <w:ind w:left="0" w:right="0"/>
        <w:jc w:val="left"/>
        <w:rPr>
          <w:rFonts w:hint="eastAsia" w:ascii="宋体" w:hAnsi="宋体" w:eastAsia="宋体" w:cs="宋体"/>
          <w:b/>
          <w:bCs/>
          <w:color w:val="auto"/>
          <w:kern w:val="44"/>
          <w:sz w:val="28"/>
          <w:szCs w:val="28"/>
        </w:rPr>
      </w:pPr>
      <w:r>
        <w:rPr>
          <w:rFonts w:hint="eastAsia" w:ascii="宋体" w:hAnsi="宋体" w:eastAsia="宋体" w:cs="宋体"/>
          <w:b/>
          <w:bCs/>
          <w:color w:val="auto"/>
          <w:kern w:val="44"/>
          <w:sz w:val="28"/>
          <w:szCs w:val="28"/>
          <w:lang w:val="en-US" w:eastAsia="zh-CN" w:bidi="ar"/>
        </w:rPr>
        <w:t>附件1</w:t>
      </w:r>
    </w:p>
    <w:p w14:paraId="1803B105">
      <w:pPr>
        <w:keepNext w:val="0"/>
        <w:keepLines w:val="0"/>
        <w:widowControl w:val="0"/>
        <w:suppressLineNumbers w:val="0"/>
        <w:adjustRightInd w:val="0"/>
        <w:snapToGrid w:val="0"/>
        <w:spacing w:before="120" w:beforeLines="50" w:beforeAutospacing="0" w:after="120" w:afterLines="50" w:afterAutospacing="0" w:line="360" w:lineRule="auto"/>
        <w:ind w:left="0" w:right="0"/>
        <w:jc w:val="center"/>
        <w:rPr>
          <w:rFonts w:hint="eastAsia" w:ascii="宋体" w:hAnsi="宋体" w:eastAsia="宋体" w:cs="宋体"/>
          <w:b/>
          <w:bCs/>
          <w:color w:val="auto"/>
          <w:kern w:val="2"/>
          <w:sz w:val="44"/>
          <w:szCs w:val="44"/>
        </w:rPr>
      </w:pPr>
      <w:r>
        <w:rPr>
          <w:rFonts w:hint="eastAsia" w:ascii="宋体" w:hAnsi="宋体" w:eastAsia="宋体" w:cs="宋体"/>
          <w:b/>
          <w:bCs/>
          <w:color w:val="auto"/>
          <w:kern w:val="44"/>
          <w:sz w:val="44"/>
          <w:szCs w:val="44"/>
          <w:lang w:val="en-US" w:eastAsia="zh-CN" w:bidi="ar"/>
        </w:rPr>
        <w:t>采购需求</w:t>
      </w:r>
    </w:p>
    <w:p w14:paraId="4AC8362E">
      <w:pPr>
        <w:keepNext w:val="0"/>
        <w:keepLines w:val="0"/>
        <w:widowControl/>
        <w:suppressLineNumbers w:val="0"/>
        <w:spacing w:before="0" w:beforeAutospacing="0" w:after="0" w:afterAutospacing="0"/>
        <w:ind w:left="0" w:right="0"/>
        <w:jc w:val="left"/>
        <w:rPr>
          <w:rFonts w:hint="default" w:ascii="Calibri" w:hAnsi="Calibri" w:eastAsia="宋体" w:cs="Times New Roman"/>
          <w:color w:val="auto"/>
          <w:kern w:val="2"/>
          <w:sz w:val="28"/>
          <w:szCs w:val="28"/>
        </w:rPr>
      </w:pPr>
      <w:r>
        <w:rPr>
          <w:rFonts w:hint="eastAsia" w:ascii="宋体" w:hAnsi="宋体" w:eastAsia="宋体" w:cs="宋体"/>
          <w:b/>
          <w:bCs/>
          <w:color w:val="auto"/>
          <w:kern w:val="0"/>
          <w:sz w:val="28"/>
          <w:szCs w:val="28"/>
          <w:lang w:val="en-US" w:eastAsia="zh-CN" w:bidi="ar"/>
        </w:rPr>
        <w:t xml:space="preserve">说明： </w:t>
      </w:r>
    </w:p>
    <w:p w14:paraId="25CDD3DC">
      <w:pPr>
        <w:keepNext w:val="0"/>
        <w:keepLines w:val="0"/>
        <w:widowControl/>
        <w:suppressLineNumbers w:val="0"/>
        <w:spacing w:before="0" w:beforeAutospacing="0" w:after="0" w:afterAutospacing="0"/>
        <w:ind w:left="0" w:right="0"/>
        <w:jc w:val="left"/>
        <w:rPr>
          <w:rFonts w:hint="default" w:ascii="Calibri" w:hAnsi="Calibri" w:eastAsia="宋体" w:cs="Times New Roman"/>
          <w:color w:val="auto"/>
          <w:kern w:val="2"/>
          <w:sz w:val="28"/>
          <w:szCs w:val="28"/>
        </w:rPr>
      </w:pPr>
      <w:r>
        <w:rPr>
          <w:rFonts w:hint="eastAsia" w:ascii="宋体" w:hAnsi="宋体" w:eastAsia="宋体" w:cs="宋体"/>
          <w:b/>
          <w:bCs/>
          <w:color w:val="auto"/>
          <w:kern w:val="0"/>
          <w:sz w:val="28"/>
          <w:szCs w:val="28"/>
          <w:lang w:val="en-US" w:eastAsia="zh-CN" w:bidi="ar"/>
        </w:rPr>
        <w:t xml:space="preserve">1.服务商须对本项目所有标的物进行整体响应，任何只对其中一部分内容进行的响应都被视为无效响应。 </w:t>
      </w:r>
    </w:p>
    <w:p w14:paraId="2ABDEAA2">
      <w:pPr>
        <w:keepNext w:val="0"/>
        <w:keepLines w:val="0"/>
        <w:widowControl/>
        <w:suppressLineNumbers w:val="0"/>
        <w:spacing w:before="0" w:beforeAutospacing="0" w:after="0" w:afterAutospacing="0"/>
        <w:ind w:left="0" w:right="0"/>
        <w:jc w:val="left"/>
        <w:rPr>
          <w:rFonts w:hint="default" w:ascii="Calibri" w:hAnsi="Calibri" w:eastAsia="宋体" w:cs="Times New Roman"/>
          <w:b/>
          <w:bCs/>
          <w:color w:val="auto"/>
          <w:kern w:val="2"/>
          <w:sz w:val="28"/>
          <w:szCs w:val="28"/>
        </w:rPr>
      </w:pPr>
      <w:r>
        <w:rPr>
          <w:rFonts w:hint="eastAsia" w:ascii="宋体" w:hAnsi="宋体" w:eastAsia="宋体" w:cs="宋体"/>
          <w:b/>
          <w:bCs/>
          <w:color w:val="auto"/>
          <w:kern w:val="0"/>
          <w:sz w:val="28"/>
          <w:szCs w:val="28"/>
          <w:lang w:val="en-US" w:eastAsia="zh-CN" w:bidi="ar"/>
        </w:rPr>
        <w:t>2.《采购需求》中标注有“★”号的条款为不可负偏离条款，服务商要特别加以注意，必须对此作出一一响应。任一项未响应或</w:t>
      </w:r>
      <w:bookmarkStart w:id="0" w:name="_GoBack"/>
      <w:bookmarkEnd w:id="0"/>
      <w:r>
        <w:rPr>
          <w:rFonts w:hint="eastAsia" w:ascii="宋体" w:hAnsi="宋体" w:eastAsia="宋体" w:cs="宋体"/>
          <w:b/>
          <w:bCs/>
          <w:color w:val="auto"/>
          <w:kern w:val="0"/>
          <w:sz w:val="28"/>
          <w:szCs w:val="28"/>
          <w:lang w:val="en-US" w:eastAsia="zh-CN" w:bidi="ar"/>
        </w:rPr>
        <w:t xml:space="preserve">不满足要求的，将导致响应无效。 </w:t>
      </w:r>
    </w:p>
    <w:p w14:paraId="5454C2C4">
      <w:pPr>
        <w:keepNext w:val="0"/>
        <w:keepLines w:val="0"/>
        <w:widowControl/>
        <w:suppressLineNumbers w:val="0"/>
        <w:spacing w:before="0" w:beforeAutospacing="0" w:after="0" w:afterAutospacing="0"/>
        <w:ind w:left="0" w:right="0"/>
        <w:jc w:val="left"/>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lang w:val="en-US" w:eastAsia="zh-CN" w:bidi="ar"/>
        </w:rPr>
        <w:t>3.《采购需求》中标注有“▲”号的条款为重要条款要求。</w:t>
      </w:r>
    </w:p>
    <w:p w14:paraId="72A7C3D1">
      <w:pPr>
        <w:pStyle w:val="3"/>
        <w:keepNext w:val="0"/>
        <w:keepLines w:val="0"/>
        <w:widowControl w:val="0"/>
        <w:suppressLineNumbers w:val="0"/>
        <w:autoSpaceDE w:val="0"/>
        <w:autoSpaceDN/>
        <w:spacing w:before="0" w:beforeAutospacing="0" w:after="0" w:afterAutospacing="0"/>
        <w:ind w:left="0" w:leftChars="0" w:right="0" w:firstLine="0" w:firstLineChars="0"/>
        <w:jc w:val="both"/>
        <w:rPr>
          <w:rFonts w:hint="default" w:ascii="Calibri" w:hAnsi="Calibri" w:eastAsia="宋体" w:cs="Times New Roman"/>
          <w:color w:val="auto"/>
          <w:kern w:val="2"/>
          <w:sz w:val="32"/>
          <w:szCs w:val="32"/>
        </w:rPr>
      </w:pPr>
      <w:r>
        <w:rPr>
          <w:rFonts w:hint="default" w:ascii="Calibri" w:hAnsi="Calibri" w:eastAsia="宋体" w:cs="Times New Roman"/>
          <w:color w:val="auto"/>
          <w:kern w:val="2"/>
          <w:sz w:val="32"/>
          <w:szCs w:val="32"/>
          <w:lang w:val="en-US" w:eastAsia="zh-CN" w:bidi="ar"/>
        </w:rPr>
        <w:t xml:space="preserve"> </w:t>
      </w:r>
    </w:p>
    <w:p w14:paraId="1809A126">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left"/>
        <w:rPr>
          <w:rFonts w:hint="eastAsia" w:ascii="黑体" w:hAnsi="宋体" w:eastAsia="黑体" w:cs="黑体"/>
          <w:color w:val="auto"/>
          <w:kern w:val="2"/>
          <w:sz w:val="32"/>
          <w:szCs w:val="32"/>
        </w:rPr>
      </w:pPr>
      <w:r>
        <w:rPr>
          <w:rFonts w:hint="eastAsia" w:ascii="黑体" w:hAnsi="宋体" w:eastAsia="黑体" w:cs="黑体"/>
          <w:color w:val="auto"/>
          <w:kern w:val="2"/>
          <w:sz w:val="32"/>
          <w:szCs w:val="32"/>
          <w:lang w:val="en-US" w:eastAsia="zh-CN" w:bidi="ar"/>
        </w:rPr>
        <w:t>一、项目概况</w:t>
      </w:r>
    </w:p>
    <w:p w14:paraId="593E9174">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1.项目背景：为全面深入推进法治医院建设，维护医院合法权益，防范法律风险，规范医院管理，保证医院各项工作依法规范有序，发挥法律顾问在医院管理工作中的保障作用。我院拟聘请一家律师事务所担任医院的常年法律顾问，为我院各项工作事务（包括但不限于采购人内部制度建设、合同管理、医疗活动、人事劳动关系、工会维权、科研项目、伦理审查、各类招标采购、对外合作、财务资产、后勤及基建项目、应急处置等方面）提供全面、专业性强的法律服务支持。</w:t>
      </w:r>
    </w:p>
    <w:p w14:paraId="26C1FAB0">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2.服务商数量：1家</w:t>
      </w:r>
    </w:p>
    <w:p w14:paraId="6597A461">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3.项目最高限价：人民币5万元/1年</w:t>
      </w:r>
    </w:p>
    <w:p w14:paraId="1C59C606">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left"/>
        <w:rPr>
          <w:rFonts w:hint="eastAsia" w:ascii="黑体" w:hAnsi="宋体" w:eastAsia="黑体" w:cs="黑体"/>
          <w:color w:val="auto"/>
          <w:kern w:val="2"/>
          <w:sz w:val="32"/>
          <w:szCs w:val="32"/>
        </w:rPr>
      </w:pPr>
      <w:r>
        <w:rPr>
          <w:rFonts w:hint="eastAsia" w:ascii="黑体" w:hAnsi="宋体" w:eastAsia="黑体" w:cs="黑体"/>
          <w:color w:val="auto"/>
          <w:kern w:val="2"/>
          <w:sz w:val="32"/>
          <w:szCs w:val="32"/>
          <w:lang w:val="en-US" w:eastAsia="zh-CN" w:bidi="ar"/>
        </w:rPr>
        <w:t>二、服务内容</w:t>
      </w:r>
    </w:p>
    <w:p w14:paraId="14695AC8">
      <w:pPr>
        <w:pStyle w:val="2"/>
        <w:keepNext w:val="0"/>
        <w:keepLines w:val="0"/>
        <w:widowControl w:val="0"/>
        <w:suppressLineNumbers w:val="0"/>
        <w:autoSpaceDE w:val="0"/>
        <w:autoSpaceDN/>
        <w:spacing w:line="600" w:lineRule="exact"/>
        <w:ind w:left="0"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服务商</w:t>
      </w:r>
      <w:r>
        <w:rPr>
          <w:rFonts w:hint="eastAsia" w:ascii="仿宋_GB2312" w:hAnsi="仿宋_GB2312" w:eastAsia="仿宋_GB2312" w:cs="仿宋_GB2312"/>
          <w:color w:val="auto"/>
          <w:kern w:val="2"/>
          <w:sz w:val="32"/>
          <w:szCs w:val="32"/>
        </w:rPr>
        <w:t>须为采购人提供以下服务，包括但不限于：</w:t>
      </w:r>
    </w:p>
    <w:p w14:paraId="67CA1FB3">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楷体_GB2312" w:eastAsia="楷体_GB2312" w:cs="楷体_GB2312"/>
          <w:b/>
          <w:bCs/>
          <w:color w:val="auto"/>
          <w:kern w:val="2"/>
          <w:sz w:val="32"/>
          <w:szCs w:val="32"/>
        </w:rPr>
      </w:pPr>
      <w:r>
        <w:rPr>
          <w:rFonts w:hint="eastAsia" w:ascii="楷体_GB2312" w:hAnsi="Calibri" w:eastAsia="楷体_GB2312" w:cs="楷体_GB2312"/>
          <w:b/>
          <w:bCs/>
          <w:color w:val="auto"/>
          <w:kern w:val="0"/>
          <w:sz w:val="32"/>
          <w:szCs w:val="32"/>
          <w:lang w:val="en-US" w:eastAsia="zh-CN" w:bidi="ar"/>
        </w:rPr>
        <w:t>★</w:t>
      </w:r>
      <w:r>
        <w:rPr>
          <w:rFonts w:hint="eastAsia" w:ascii="楷体_GB2312" w:hAnsi="Calibri" w:eastAsia="楷体_GB2312" w:cs="楷体_GB2312"/>
          <w:b/>
          <w:bCs/>
          <w:color w:val="auto"/>
          <w:kern w:val="2"/>
          <w:sz w:val="32"/>
          <w:szCs w:val="32"/>
          <w:lang w:val="en-US" w:eastAsia="zh-CN" w:bidi="ar"/>
        </w:rPr>
        <w:t>（一）咨询、审查类服务</w:t>
      </w:r>
    </w:p>
    <w:p w14:paraId="71932D7F">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仿宋_GB2312" w:hAnsi="仿宋_GB2312" w:eastAsia="仿宋_GB2312" w:cs="仿宋_GB2312"/>
          <w:b/>
          <w:bCs/>
          <w:color w:val="auto"/>
          <w:kern w:val="2"/>
          <w:sz w:val="32"/>
          <w:szCs w:val="32"/>
        </w:rPr>
      </w:pPr>
      <w:r>
        <w:rPr>
          <w:rFonts w:hint="eastAsia" w:ascii="仿宋_GB2312" w:hAnsi="仿宋_GB2312" w:eastAsia="仿宋_GB2312" w:cs="仿宋_GB2312"/>
          <w:b/>
          <w:bCs/>
          <w:color w:val="auto"/>
          <w:kern w:val="2"/>
          <w:sz w:val="32"/>
          <w:szCs w:val="32"/>
          <w:lang w:val="en-US" w:eastAsia="zh-CN" w:bidi="ar"/>
        </w:rPr>
        <w:t>1.法律咨询</w:t>
      </w:r>
    </w:p>
    <w:p w14:paraId="27385C02">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（1）参与推进依法治院、建设法治医院工作重大问题的研究，提供一份年度服务报告。</w:t>
      </w:r>
    </w:p>
    <w:p w14:paraId="50B9567D">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（2）为医院经营决策提供法律依据，对决策中法律方面的合法性、可行性、风险性等问题提供法律建议或出具律师意见书/法律论证书，出席有关会议，确保医院经营活动合法合规。</w:t>
      </w:r>
    </w:p>
    <w:p w14:paraId="402FE462">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3）为医教研管各项工作提供法律咨询，如院名院誉、院区建设、对外合作、医疗纠纷、劳动人事关系、科研项目、知识产权、成果转化、商标管理、合同管理、招标采购、食品安全、学生管理、房屋租赁、基建项目、环保、医学伦理、绩效考核、财务资产、应急处置、自媒体运营等法律问题，依法提供法律建议或者出具法律意见书/法律论证书。</w:t>
      </w:r>
    </w:p>
    <w:p w14:paraId="7CD8667D">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仿宋" w:hAnsi="仿宋" w:eastAsia="仿宋" w:cs="仿宋"/>
          <w:b/>
          <w:bCs/>
          <w:color w:val="auto"/>
          <w:kern w:val="2"/>
          <w:sz w:val="32"/>
          <w:szCs w:val="32"/>
        </w:rPr>
      </w:pPr>
      <w:r>
        <w:rPr>
          <w:rFonts w:hint="eastAsia" w:ascii="仿宋" w:hAnsi="仿宋" w:eastAsia="仿宋" w:cs="仿宋"/>
          <w:b/>
          <w:bCs/>
          <w:color w:val="auto"/>
          <w:kern w:val="2"/>
          <w:sz w:val="32"/>
          <w:szCs w:val="32"/>
          <w:lang w:val="en-US" w:eastAsia="zh-CN" w:bidi="ar"/>
        </w:rPr>
        <w:t>2.文件（合同）审查</w:t>
      </w:r>
    </w:p>
    <w:p w14:paraId="270FEF27">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参与审查拟签订的合同，对外发布的具有法律约束力或以承担一定义务为内容的文件，出具法律审查意见。文件包括但不限于：服务期内形成一定数量和较高质量的合同范本/模板库、标准化全周期管理流程（包括合同审核、合同签订等）、协助建立健全合同管理制度等。</w:t>
      </w:r>
    </w:p>
    <w:p w14:paraId="05355B2F">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（1）合作协议、备忘录等；</w:t>
      </w:r>
    </w:p>
    <w:p w14:paraId="1106D966">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（2）招标投标文件；</w:t>
      </w:r>
    </w:p>
    <w:p w14:paraId="230FD2FB">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（3）与中标服务商签署的有关采购合同；</w:t>
      </w:r>
    </w:p>
    <w:p w14:paraId="431F98FB">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（4）公告、公示及声明等；</w:t>
      </w:r>
    </w:p>
    <w:p w14:paraId="05992CF6">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（5）法律意见书，如函件、往来文件等。</w:t>
      </w:r>
    </w:p>
    <w:p w14:paraId="4DFECE07">
      <w:pPr>
        <w:pStyle w:val="6"/>
        <w:keepNext w:val="0"/>
        <w:keepLines w:val="0"/>
        <w:widowControl w:val="0"/>
        <w:suppressLineNumbers w:val="0"/>
        <w:autoSpaceDE w:val="0"/>
        <w:autoSpaceDN/>
        <w:adjustRightInd w:val="0"/>
        <w:snapToGrid w:val="0"/>
        <w:spacing w:line="600" w:lineRule="exact"/>
        <w:ind w:left="0" w:firstLine="640" w:firstLineChars="200"/>
        <w:rPr>
          <w:rFonts w:hint="eastAsia" w:ascii="仿宋_GB2312" w:hAnsi="仿宋_GB2312" w:eastAsia="仿宋_GB2312" w:cs="仿宋_GB2312"/>
          <w:color w:val="auto"/>
          <w:kern w:val="2"/>
          <w:sz w:val="32"/>
          <w:szCs w:val="32"/>
        </w:rPr>
      </w:pPr>
      <w:r>
        <w:rPr>
          <w:rFonts w:hint="eastAsia" w:ascii="仿宋" w:hAnsi="仿宋" w:eastAsia="仿宋" w:cs="仿宋"/>
          <w:kern w:val="2"/>
          <w:sz w:val="32"/>
          <w:szCs w:val="32"/>
        </w:rPr>
        <w:t>协助医院梳理健全合同管理体系，服务期内形成一定数量和较高质量的合同范本/模板库、标准化全周期管理流程（包括合同审核、合同签订等）、协助建立健全合同管理制度等。</w:t>
      </w:r>
    </w:p>
    <w:p w14:paraId="6FD8B656">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仿宋_GB2312" w:hAnsi="仿宋_GB2312" w:eastAsia="仿宋_GB2312" w:cs="仿宋_GB2312"/>
          <w:b/>
          <w:bCs/>
          <w:color w:val="auto"/>
          <w:kern w:val="2"/>
          <w:sz w:val="32"/>
          <w:szCs w:val="32"/>
        </w:rPr>
      </w:pPr>
      <w:r>
        <w:rPr>
          <w:rFonts w:hint="eastAsia" w:ascii="仿宋_GB2312" w:hAnsi="仿宋_GB2312" w:eastAsia="仿宋_GB2312" w:cs="仿宋_GB2312"/>
          <w:b/>
          <w:bCs/>
          <w:color w:val="auto"/>
          <w:kern w:val="2"/>
          <w:sz w:val="32"/>
          <w:szCs w:val="32"/>
          <w:lang w:val="en-US" w:eastAsia="zh-CN" w:bidi="ar"/>
        </w:rPr>
        <w:t>3.制度审查</w:t>
      </w:r>
    </w:p>
    <w:p w14:paraId="6FEB5506">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对医院拟制订的章程、医疗文书、规章制度等进行合法性审查，并出具法律审查意见，帮助医院健全和完善制度建设工作。文件包括但不限于：</w:t>
      </w:r>
    </w:p>
    <w:p w14:paraId="17053859">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（1）内部章程；</w:t>
      </w:r>
    </w:p>
    <w:p w14:paraId="75A91693">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（2）医疗文书，如病历文书、知情告知书、授权委托书、家属告知等；</w:t>
      </w:r>
    </w:p>
    <w:p w14:paraId="523EAF5D">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（3）规章制度，如奖惩方案、授权体系、印信管理、档案管理、合同管理、医疗管理、保密制度、内控制度、招标采购制度、基建工程制度等（应采购人要求出具书面评估报告）。</w:t>
      </w:r>
    </w:p>
    <w:p w14:paraId="23FC7CE2">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楷体_GB2312" w:eastAsia="楷体_GB2312" w:cs="楷体_GB2312"/>
          <w:b/>
          <w:bCs/>
          <w:color w:val="auto"/>
          <w:kern w:val="2"/>
          <w:sz w:val="32"/>
          <w:szCs w:val="32"/>
        </w:rPr>
      </w:pPr>
      <w:r>
        <w:rPr>
          <w:rFonts w:hint="eastAsia" w:ascii="楷体_GB2312" w:hAnsi="Calibri" w:eastAsia="楷体_GB2312" w:cs="楷体_GB2312"/>
          <w:b/>
          <w:bCs/>
          <w:color w:val="auto"/>
          <w:kern w:val="0"/>
          <w:sz w:val="32"/>
          <w:szCs w:val="32"/>
          <w:lang w:val="en-US" w:eastAsia="zh-CN" w:bidi="ar"/>
        </w:rPr>
        <w:t>★</w:t>
      </w:r>
      <w:r>
        <w:rPr>
          <w:rFonts w:hint="eastAsia" w:ascii="楷体_GB2312" w:hAnsi="Calibri" w:eastAsia="楷体_GB2312" w:cs="楷体_GB2312"/>
          <w:b/>
          <w:bCs/>
          <w:color w:val="auto"/>
          <w:kern w:val="2"/>
          <w:sz w:val="32"/>
          <w:szCs w:val="32"/>
          <w:lang w:val="en-US" w:eastAsia="zh-CN" w:bidi="ar"/>
        </w:rPr>
        <w:t>（二）纠纷及非纠纷处理类服务</w:t>
      </w:r>
    </w:p>
    <w:p w14:paraId="5F0811E5">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应采购人要求，就采购人已有、面临或者可能发生的纠纷及非纠纷事务，进行法律论证、发表律师意见、提出解决方案，包括但不限于：</w:t>
      </w:r>
    </w:p>
    <w:p w14:paraId="2ED13292">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仿宋" w:hAnsi="仿宋" w:eastAsia="仿宋" w:cs="仿宋"/>
          <w:b/>
          <w:bCs/>
          <w:color w:val="auto"/>
          <w:kern w:val="2"/>
          <w:sz w:val="32"/>
          <w:szCs w:val="32"/>
        </w:rPr>
      </w:pPr>
      <w:r>
        <w:rPr>
          <w:rFonts w:hint="eastAsia" w:ascii="仿宋" w:hAnsi="仿宋" w:eastAsia="仿宋" w:cs="仿宋"/>
          <w:b/>
          <w:bCs/>
          <w:color w:val="auto"/>
          <w:kern w:val="2"/>
          <w:sz w:val="32"/>
          <w:szCs w:val="32"/>
          <w:lang w:val="en-US" w:eastAsia="zh-CN" w:bidi="ar"/>
        </w:rPr>
        <w:t>1.非诉纠纷处理</w:t>
      </w:r>
    </w:p>
    <w:p w14:paraId="1B03B4F2">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就医院在业务活动及内部管理活动中已经面临或者可能发生的各类纠纷，包括医疗纠纷、经济纠纷、劳动人事纠纷等，及时提供咨询意见或建议，进行法律论证，提出解决方案。在不违背律师执业利益冲突的原则下对相关对象发出律师函、建议函，或者参与非诉讼谈判、协调、调解。在医疗纠纷中，参与医患谈判、协商解决方案，协助完成调解协议签订以及司法确认工作等。</w:t>
      </w:r>
    </w:p>
    <w:p w14:paraId="7FA31D8F">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仿宋" w:hAnsi="仿宋" w:eastAsia="仿宋" w:cs="仿宋"/>
          <w:b/>
          <w:bCs/>
          <w:color w:val="auto"/>
          <w:kern w:val="2"/>
          <w:sz w:val="32"/>
          <w:szCs w:val="32"/>
        </w:rPr>
      </w:pPr>
      <w:r>
        <w:rPr>
          <w:rFonts w:hint="eastAsia" w:ascii="仿宋" w:hAnsi="仿宋" w:eastAsia="仿宋" w:cs="仿宋"/>
          <w:b/>
          <w:bCs/>
          <w:color w:val="auto"/>
          <w:kern w:val="2"/>
          <w:sz w:val="32"/>
          <w:szCs w:val="32"/>
          <w:lang w:val="en-US" w:eastAsia="zh-CN" w:bidi="ar"/>
        </w:rPr>
        <w:t>2.舆情处理</w:t>
      </w:r>
    </w:p>
    <w:p w14:paraId="1A91C816">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就医院可能发生或已发生的重大危机或有较大社会影响的事件，协助提供法律危机公关处理，提出紧急处置方案。经医院授权，代表医院发布律师声明，澄清事实，表明医院立场，维护医院公众形象。</w:t>
      </w:r>
    </w:p>
    <w:p w14:paraId="44A36A58">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仿宋" w:hAnsi="仿宋" w:eastAsia="仿宋" w:cs="仿宋"/>
          <w:b/>
          <w:bCs/>
          <w:color w:val="auto"/>
          <w:kern w:val="2"/>
          <w:sz w:val="32"/>
          <w:szCs w:val="32"/>
        </w:rPr>
      </w:pPr>
      <w:r>
        <w:rPr>
          <w:rFonts w:hint="eastAsia" w:ascii="仿宋" w:hAnsi="仿宋" w:eastAsia="仿宋" w:cs="仿宋"/>
          <w:b/>
          <w:bCs/>
          <w:color w:val="auto"/>
          <w:kern w:val="2"/>
          <w:sz w:val="32"/>
          <w:szCs w:val="32"/>
          <w:lang w:val="en-US" w:eastAsia="zh-CN" w:bidi="ar"/>
        </w:rPr>
        <w:t>3.磋商谈判</w:t>
      </w:r>
    </w:p>
    <w:p w14:paraId="457329FF">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根据医院要求，参与或代表医院出席对外交流或合作项目的会谈、磋商、谈判等，进行法律分析、风险评估及方案论证，为决策提供法律依据并出具法律意见书。</w:t>
      </w:r>
    </w:p>
    <w:p w14:paraId="6029A2D8">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仿宋" w:hAnsi="仿宋" w:eastAsia="仿宋" w:cs="仿宋"/>
          <w:b/>
          <w:bCs/>
          <w:color w:val="auto"/>
          <w:kern w:val="2"/>
          <w:sz w:val="32"/>
          <w:szCs w:val="32"/>
        </w:rPr>
      </w:pPr>
      <w:r>
        <w:rPr>
          <w:rFonts w:hint="eastAsia" w:ascii="仿宋" w:hAnsi="仿宋" w:eastAsia="仿宋" w:cs="仿宋"/>
          <w:b/>
          <w:bCs/>
          <w:color w:val="auto"/>
          <w:kern w:val="2"/>
          <w:sz w:val="32"/>
          <w:szCs w:val="32"/>
          <w:lang w:val="en-US" w:eastAsia="zh-CN" w:bidi="ar"/>
        </w:rPr>
        <w:t>4.质询投诉</w:t>
      </w:r>
    </w:p>
    <w:p w14:paraId="75A2F31F">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根据医院要求，协助处理业务活动中政府及公检法机关及上级部门的来函，服务商或其他合作单位的质询、投诉。</w:t>
      </w:r>
    </w:p>
    <w:p w14:paraId="5667BDE6">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仿宋" w:hAnsi="仿宋" w:eastAsia="仿宋" w:cs="仿宋"/>
          <w:color w:val="auto"/>
          <w:kern w:val="2"/>
          <w:sz w:val="32"/>
          <w:szCs w:val="32"/>
        </w:rPr>
      </w:pPr>
      <w:r>
        <w:rPr>
          <w:rFonts w:hint="eastAsia" w:ascii="楷体_GB2312" w:hAnsi="Calibri" w:eastAsia="楷体_GB2312" w:cs="楷体_GB2312"/>
          <w:b/>
          <w:bCs/>
          <w:color w:val="auto"/>
          <w:kern w:val="2"/>
          <w:sz w:val="32"/>
          <w:szCs w:val="32"/>
          <w:lang w:val="en-US" w:eastAsia="zh-CN" w:bidi="ar"/>
        </w:rPr>
        <w:t>★（三）涉诉案件代理服务</w:t>
      </w:r>
    </w:p>
    <w:p w14:paraId="6130308E">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采购人可委托服务商代理仲裁、诉讼等案件。根据具体诉讼案件情况，签订代理协议，代理仲裁、诉讼等案件等专项法律事务。</w:t>
      </w:r>
    </w:p>
    <w:p w14:paraId="52288E3D">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楷体_GB2312" w:eastAsia="楷体_GB2312" w:cs="楷体_GB2312"/>
          <w:b/>
          <w:bCs/>
          <w:color w:val="auto"/>
          <w:kern w:val="2"/>
          <w:sz w:val="32"/>
          <w:szCs w:val="32"/>
        </w:rPr>
      </w:pPr>
      <w:r>
        <w:rPr>
          <w:rFonts w:hint="eastAsia" w:ascii="楷体_GB2312" w:hAnsi="Calibri" w:eastAsia="楷体_GB2312" w:cs="楷体_GB2312"/>
          <w:b/>
          <w:bCs/>
          <w:color w:val="auto"/>
          <w:kern w:val="0"/>
          <w:sz w:val="32"/>
          <w:szCs w:val="32"/>
          <w:lang w:val="en-US" w:eastAsia="zh-CN" w:bidi="ar"/>
        </w:rPr>
        <w:t>★</w:t>
      </w:r>
      <w:r>
        <w:rPr>
          <w:rFonts w:hint="eastAsia" w:ascii="楷体_GB2312" w:hAnsi="Calibri" w:eastAsia="楷体_GB2312" w:cs="楷体_GB2312"/>
          <w:b/>
          <w:bCs/>
          <w:color w:val="auto"/>
          <w:kern w:val="2"/>
          <w:sz w:val="32"/>
          <w:szCs w:val="32"/>
          <w:lang w:val="en-US" w:eastAsia="zh-CN" w:bidi="ar"/>
        </w:rPr>
        <w:t>（四）培训类服务</w:t>
      </w:r>
    </w:p>
    <w:p w14:paraId="13979431">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1.提供卫生健康行业发展所需的法律法规信息、国家政策信息，协助采购人完成对职工的法律法规培训。</w:t>
      </w:r>
    </w:p>
    <w:p w14:paraId="24DC76C4">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2.开展普法宣传和法律知识培训，每年培训次数不少于2次；可以根据采购人需要开展针对性法律事务培训，专题辅导科室和职工在工作中常见的法律风险，并提出合规建议和解决方案。</w:t>
      </w:r>
    </w:p>
    <w:p w14:paraId="0297AA10">
      <w:pPr>
        <w:pStyle w:val="3"/>
        <w:keepNext w:val="0"/>
        <w:keepLines w:val="0"/>
        <w:widowControl w:val="0"/>
        <w:suppressLineNumbers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（五）应医院要求提供其他法律服务。</w:t>
      </w:r>
    </w:p>
    <w:p w14:paraId="3E2F8904">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黑体" w:hAnsi="宋体" w:eastAsia="黑体" w:cs="黑体"/>
          <w:b/>
          <w:bCs/>
          <w:color w:val="auto"/>
          <w:kern w:val="2"/>
          <w:sz w:val="32"/>
          <w:szCs w:val="32"/>
        </w:rPr>
      </w:pPr>
      <w:r>
        <w:rPr>
          <w:rFonts w:hint="eastAsia" w:ascii="黑体" w:hAnsi="宋体" w:eastAsia="黑体" w:cs="黑体"/>
          <w:b/>
          <w:bCs/>
          <w:color w:val="auto"/>
          <w:kern w:val="2"/>
          <w:sz w:val="32"/>
          <w:szCs w:val="32"/>
          <w:lang w:val="en-US" w:eastAsia="zh-CN" w:bidi="ar"/>
        </w:rPr>
        <w:t>三、服务要求</w:t>
      </w:r>
    </w:p>
    <w:p w14:paraId="3058FEDD">
      <w:pPr>
        <w:pStyle w:val="3"/>
        <w:keepNext w:val="0"/>
        <w:keepLines w:val="0"/>
        <w:widowControl w:val="0"/>
        <w:numPr>
          <w:ilvl w:val="0"/>
          <w:numId w:val="1"/>
        </w:numPr>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按照积极、专业、诚信、全面、全程的原则提供法律服务。</w:t>
      </w:r>
    </w:p>
    <w:p w14:paraId="18456F43">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 w:val="0"/>
          <w:bCs w:val="0"/>
          <w:color w:val="auto"/>
          <w:kern w:val="2"/>
          <w:sz w:val="32"/>
          <w:szCs w:val="32"/>
          <w:lang w:val="en-US" w:eastAsia="zh-CN" w:bidi="ar"/>
        </w:rPr>
        <w:t>（二）</w:t>
      </w:r>
      <w:r>
        <w:rPr>
          <w:rFonts w:hint="eastAsia" w:ascii="仿宋_GB2312" w:hAnsi="仿宋_GB2312" w:eastAsia="仿宋_GB2312" w:cs="仿宋_GB2312"/>
          <w:color w:val="auto"/>
          <w:kern w:val="2"/>
          <w:sz w:val="32"/>
          <w:szCs w:val="32"/>
          <w:lang w:val="en-US" w:eastAsia="zh-CN" w:bidi="ar"/>
        </w:rPr>
        <w:t>提供明确的团队人员分工、工作流程、风险管控措施，承诺质量控制机制等。</w:t>
      </w:r>
    </w:p>
    <w:p w14:paraId="76390062">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（三）主动、及时向采购人反馈法律事务办理经过、结果及经验，并视情况提出纠正和预防措施，整理资料并留存备查。</w:t>
      </w:r>
    </w:p>
    <w:p w14:paraId="788C04E7">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（四）根据采购人要求，为“三重一大”等事项的咨询意见提供正式书面文书。</w:t>
      </w:r>
    </w:p>
    <w:p w14:paraId="7F3ED808">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b/>
          <w:bCs/>
          <w:color w:val="auto"/>
          <w:kern w:val="2"/>
          <w:sz w:val="32"/>
          <w:szCs w:val="32"/>
        </w:rPr>
      </w:pPr>
      <w:r>
        <w:rPr>
          <w:rFonts w:hint="eastAsia" w:ascii="仿宋_GB2312" w:hAnsi="仿宋_GB2312" w:eastAsia="仿宋_GB2312" w:cs="仿宋_GB2312"/>
          <w:color w:val="auto"/>
          <w:kern w:val="2"/>
          <w:sz w:val="32"/>
          <w:szCs w:val="32"/>
          <w:lang w:val="en-US" w:eastAsia="zh-CN" w:bidi="ar"/>
        </w:rPr>
        <w:t>★</w:t>
      </w:r>
      <w:r>
        <w:rPr>
          <w:rFonts w:hint="eastAsia" w:ascii="仿宋_GB2312" w:hAnsi="仿宋_GB2312" w:eastAsia="仿宋_GB2312" w:cs="仿宋_GB2312"/>
          <w:b/>
          <w:bCs/>
          <w:color w:val="auto"/>
          <w:kern w:val="2"/>
          <w:sz w:val="32"/>
          <w:szCs w:val="32"/>
          <w:lang w:val="en-US" w:eastAsia="zh-CN" w:bidi="ar"/>
        </w:rPr>
        <w:t>（五）服务时限要求</w:t>
      </w:r>
    </w:p>
    <w:p w14:paraId="4D287229">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仿宋_GB2312" w:hAnsi="仿宋_GB2312" w:eastAsia="仿宋_GB2312" w:cs="仿宋_GB2312"/>
          <w:b/>
          <w:bCs/>
          <w:color w:val="auto"/>
          <w:kern w:val="2"/>
          <w:sz w:val="32"/>
          <w:szCs w:val="32"/>
        </w:rPr>
      </w:pPr>
      <w:r>
        <w:rPr>
          <w:rFonts w:hint="eastAsia" w:ascii="仿宋_GB2312" w:hAnsi="仿宋_GB2312" w:eastAsia="仿宋_GB2312" w:cs="仿宋_GB2312"/>
          <w:b/>
          <w:bCs/>
          <w:color w:val="auto"/>
          <w:kern w:val="2"/>
          <w:sz w:val="32"/>
          <w:szCs w:val="32"/>
          <w:lang w:val="en-US" w:eastAsia="zh-CN" w:bidi="ar"/>
        </w:rPr>
        <w:t>1.常规服务时限要求：</w:t>
      </w:r>
    </w:p>
    <w:p w14:paraId="3FD1248F">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 xml:space="preserve">（1）口头（含电话或微信）咨询：一般电话即时响应，不能即时答复的须在1个工作日内答复。 </w:t>
      </w:r>
    </w:p>
    <w:p w14:paraId="004FB30C">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（2）书面或邮件咨询：接采购人通知后2个工作日以内答复，最迟不超过3个工作日。</w:t>
      </w:r>
    </w:p>
    <w:p w14:paraId="665C376E">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（3）文件（合同）或制度审查：接采购人通知后3个工作日以内完成，最迟不超过5个工作日。</w:t>
      </w:r>
    </w:p>
    <w:p w14:paraId="470A4769">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（4）出具律师函：接采购人通知后3个工作日以内完成，最迟不超过5个工作日。</w:t>
      </w:r>
    </w:p>
    <w:p w14:paraId="2139A59F">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（5）专题法律培训：采购人提前10个工作日通知。</w:t>
      </w:r>
    </w:p>
    <w:p w14:paraId="39052129">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3" w:firstLineChars="200"/>
        <w:jc w:val="both"/>
        <w:rPr>
          <w:rFonts w:hint="eastAsia" w:ascii="仿宋_GB2312" w:hAnsi="仿宋_GB2312" w:eastAsia="仿宋_GB2312" w:cs="仿宋_GB2312"/>
          <w:b/>
          <w:bCs/>
          <w:color w:val="auto"/>
          <w:kern w:val="2"/>
          <w:sz w:val="32"/>
          <w:szCs w:val="32"/>
        </w:rPr>
      </w:pPr>
      <w:r>
        <w:rPr>
          <w:rFonts w:hint="eastAsia" w:ascii="仿宋_GB2312" w:hAnsi="仿宋_GB2312" w:eastAsia="仿宋_GB2312" w:cs="仿宋_GB2312"/>
          <w:b/>
          <w:bCs/>
          <w:color w:val="auto"/>
          <w:kern w:val="2"/>
          <w:sz w:val="32"/>
          <w:szCs w:val="32"/>
          <w:lang w:val="en-US" w:eastAsia="zh-CN" w:bidi="ar"/>
        </w:rPr>
        <w:t>2.特殊服务时限要求：</w:t>
      </w:r>
    </w:p>
    <w:p w14:paraId="50F62123">
      <w:pPr>
        <w:pStyle w:val="3"/>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2"/>
          <w:sz w:val="32"/>
          <w:szCs w:val="32"/>
          <w:shd w:val="clear" w:fill="FFFFFF"/>
          <w:lang w:val="en-US" w:eastAsia="zh-CN" w:bidi="ar"/>
        </w:rPr>
        <w:t>根据采购人要求，遇到医疗纠纷、突发群体性事件、医疗救治伦理困境等紧急现场服务，能在采购人发出请求后2小时内派人到达现场（须提供承诺函，加盖服务商公章）。未按时响应的，每次扣顾问费500元；超过3次未按时响应的，采购人享有单方合同解除权。</w:t>
      </w:r>
    </w:p>
    <w:p w14:paraId="3EE35EB4">
      <w:pPr>
        <w:pStyle w:val="3"/>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2"/>
          <w:sz w:val="32"/>
          <w:szCs w:val="32"/>
          <w:shd w:val="clear" w:fill="FFFFFF"/>
          <w:lang w:val="en-US" w:eastAsia="zh-CN" w:bidi="ar"/>
        </w:rPr>
        <w:t>▲（六）代理采购人参加任何民事、刑事、行政及其他法律程序（包括但不限于诉讼、仲裁、调解、行政复议、调查取证、律师函出具等），即便采购人在该等法律程序中并非以被告、第三人（含无独立请求权第三人、有独立请求权第三人）身份参与，但该法律程序的案件事实、审理结果、处理结论直接关联采购人合法权益（包括但不限于财产权益、经营权益、知识产权、商业信誉、关联主体权益等），或案件标的、证据材料、法律关系与采购人存在直接或间接关联的，应依履行法律服务义务，代理相关案件。</w:t>
      </w:r>
    </w:p>
    <w:p w14:paraId="73558961">
      <w:pPr>
        <w:pStyle w:val="3"/>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2"/>
          <w:sz w:val="32"/>
          <w:szCs w:val="32"/>
          <w:shd w:val="clear" w:fill="FFFFFF"/>
          <w:lang w:val="en-US" w:eastAsia="zh-CN" w:bidi="ar"/>
        </w:rPr>
        <w:t>▲（七）代理人具有案件材料移交、返还义务，未移交返还的不予支付代理费；已支付的应当退还。未按时出庭答辩，导致法院缺席判决采购人败诉的，代理费不予支付，损失由服务商承担；采购人损失按法院判决采购人承担的金额计算；代理费已支付的，应当退还。</w:t>
      </w:r>
    </w:p>
    <w:p w14:paraId="2C3C4AE1">
      <w:pPr>
        <w:pStyle w:val="3"/>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2"/>
          <w:sz w:val="32"/>
          <w:szCs w:val="32"/>
          <w:shd w:val="clear" w:fill="FFFFFF"/>
          <w:lang w:val="en-US" w:eastAsia="zh-CN" w:bidi="ar"/>
        </w:rPr>
        <w:t>★（八）团队主办律师和其他成员需要更换时，服务商需指派有相同资质和经验的律师，并获得采购人的书面同意；采购人认为所指派律师不能胜任工作要求，采购人有权要求服务商限期更换。如服务商不予调换，采购人有权解除服务合同。</w:t>
      </w:r>
    </w:p>
    <w:p w14:paraId="75A331B4">
      <w:pPr>
        <w:pStyle w:val="3"/>
        <w:keepNext w:val="0"/>
        <w:keepLines w:val="0"/>
        <w:widowControl w:val="0"/>
        <w:numPr>
          <w:ilvl w:val="0"/>
          <w:numId w:val="2"/>
        </w:numPr>
        <w:suppressLineNumbers w:val="0"/>
        <w:adjustRightInd w:val="0"/>
        <w:snapToGrid w:val="0"/>
        <w:spacing w:before="0" w:beforeAutospacing="0" w:after="0" w:afterAutospacing="0" w:line="600" w:lineRule="exact"/>
        <w:ind w:left="0" w:right="0" w:firstLine="643" w:firstLineChars="200"/>
        <w:jc w:val="both"/>
        <w:rPr>
          <w:rFonts w:hint="eastAsia" w:ascii="仿宋" w:hAnsi="仿宋" w:eastAsia="仿宋" w:cs="仿宋"/>
          <w:b/>
          <w:bCs/>
          <w:color w:val="auto"/>
          <w:kern w:val="2"/>
          <w:sz w:val="32"/>
          <w:szCs w:val="32"/>
          <w:shd w:val="clear" w:fill="FFFFFF"/>
          <w:lang w:val="en-US" w:eastAsia="zh-CN" w:bidi="ar"/>
        </w:rPr>
      </w:pPr>
      <w:r>
        <w:rPr>
          <w:rFonts w:hint="eastAsia" w:ascii="仿宋" w:hAnsi="仿宋" w:eastAsia="仿宋" w:cs="仿宋"/>
          <w:b/>
          <w:bCs/>
          <w:color w:val="auto"/>
          <w:kern w:val="2"/>
          <w:sz w:val="32"/>
          <w:szCs w:val="32"/>
          <w:shd w:val="clear" w:fill="FFFFFF"/>
          <w:lang w:val="en-US" w:eastAsia="zh-CN" w:bidi="ar"/>
        </w:rPr>
        <w:t>结算说明</w:t>
      </w:r>
    </w:p>
    <w:p w14:paraId="3CB75A7F">
      <w:pPr>
        <w:pStyle w:val="3"/>
        <w:keepNext w:val="0"/>
        <w:keepLines w:val="0"/>
        <w:widowControl w:val="0"/>
        <w:numPr>
          <w:numId w:val="0"/>
        </w:numPr>
        <w:suppressLineNumbers w:val="0"/>
        <w:adjustRightInd w:val="0"/>
        <w:snapToGrid w:val="0"/>
        <w:spacing w:before="0" w:beforeAutospacing="0" w:after="0" w:afterAutospacing="0" w:line="600" w:lineRule="exact"/>
        <w:ind w:right="0" w:rightChars="0" w:firstLine="640" w:firstLineChars="200"/>
        <w:jc w:val="both"/>
        <w:rPr>
          <w:rFonts w:hint="eastAsia" w:ascii="仿宋_GB2312" w:hAnsi="仿宋_GB2312" w:eastAsia="仿宋_GB2312" w:cs="仿宋_GB2312"/>
          <w:i w:val="0"/>
          <w:iCs w:val="0"/>
          <w:caps w:val="0"/>
          <w:color w:val="auto"/>
          <w:spacing w:val="0"/>
          <w:kern w:val="2"/>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2"/>
          <w:sz w:val="32"/>
          <w:szCs w:val="32"/>
          <w:shd w:val="clear" w:fill="FFFFFF"/>
          <w:lang w:val="en-US" w:eastAsia="zh-CN" w:bidi="ar"/>
        </w:rPr>
        <w:t>1.固定服务费：按年结算，合同签订生效后服务商根据单一年度的服务费金额出具正规发票，采购人在收到发票的20个工作日内以银行转账方式向中标人支付本年度的服务费。</w:t>
      </w:r>
    </w:p>
    <w:p w14:paraId="7AA6A508">
      <w:pPr>
        <w:pStyle w:val="3"/>
        <w:keepNext w:val="0"/>
        <w:keepLines w:val="0"/>
        <w:widowControl w:val="0"/>
        <w:numPr>
          <w:numId w:val="0"/>
        </w:numPr>
        <w:suppressLineNumbers w:val="0"/>
        <w:adjustRightInd w:val="0"/>
        <w:snapToGrid w:val="0"/>
        <w:spacing w:before="0" w:beforeAutospacing="0" w:after="0" w:afterAutospacing="0" w:line="600" w:lineRule="exact"/>
        <w:ind w:right="0" w:rightChars="0" w:firstLine="640" w:firstLineChars="200"/>
        <w:jc w:val="both"/>
        <w:rPr>
          <w:rFonts w:hint="eastAsia" w:ascii="仿宋_GB2312" w:hAnsi="仿宋_GB2312" w:eastAsia="仿宋_GB2312" w:cs="仿宋_GB2312"/>
          <w:i w:val="0"/>
          <w:iCs w:val="0"/>
          <w:caps w:val="0"/>
          <w:color w:val="auto"/>
          <w:spacing w:val="0"/>
          <w:kern w:val="2"/>
          <w:sz w:val="32"/>
          <w:szCs w:val="32"/>
          <w:shd w:val="clear" w:fill="FFFFFF"/>
        </w:rPr>
      </w:pPr>
      <w:r>
        <w:rPr>
          <w:rFonts w:hint="eastAsia" w:ascii="仿宋_GB2312" w:hAnsi="仿宋_GB2312" w:eastAsia="仿宋_GB2312" w:cs="仿宋_GB2312"/>
          <w:i w:val="0"/>
          <w:iCs w:val="0"/>
          <w:caps w:val="0"/>
          <w:color w:val="auto"/>
          <w:spacing w:val="0"/>
          <w:kern w:val="2"/>
          <w:sz w:val="32"/>
          <w:szCs w:val="32"/>
          <w:shd w:val="clear" w:fill="FFFFFF"/>
          <w:lang w:val="en-US" w:eastAsia="zh-CN" w:bidi="ar"/>
        </w:rPr>
        <w:t>2.仲裁、诉讼等代理费：采购人委托给服务商的仲裁、诉讼等案件处理完毕并移交相关案件卷宗材料后，采购人在收到服务商出具的正规发票后在20个工作日内以银行转账方式向服务商支付代理费。特殊情况双方另行协商。</w:t>
      </w:r>
    </w:p>
    <w:p w14:paraId="1F43F6D6">
      <w:pPr>
        <w:pStyle w:val="3"/>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eastAsia" w:ascii="仿宋_GB2312" w:hAnsi="仿宋_GB2312" w:eastAsia="仿宋_GB2312" w:cs="仿宋_GB2312"/>
          <w:i w:val="0"/>
          <w:iCs w:val="0"/>
          <w:caps w:val="0"/>
          <w:color w:val="auto"/>
          <w:spacing w:val="0"/>
          <w:kern w:val="2"/>
          <w:sz w:val="32"/>
          <w:szCs w:val="32"/>
        </w:rPr>
      </w:pPr>
      <w:r>
        <w:rPr>
          <w:rFonts w:hint="eastAsia" w:ascii="仿宋_GB2312" w:hAnsi="仿宋_GB2312" w:eastAsia="仿宋_GB2312" w:cs="仿宋_GB2312"/>
          <w:b w:val="0"/>
          <w:bCs w:val="0"/>
          <w:color w:val="auto"/>
          <w:kern w:val="2"/>
          <w:sz w:val="32"/>
          <w:szCs w:val="32"/>
          <w:lang w:val="en-US" w:eastAsia="zh-CN" w:bidi="ar"/>
        </w:rPr>
        <w:t>（十）</w:t>
      </w:r>
      <w:r>
        <w:rPr>
          <w:rFonts w:hint="eastAsia" w:ascii="仿宋_GB2312" w:hAnsi="仿宋_GB2312" w:eastAsia="仿宋_GB2312" w:cs="仿宋_GB2312"/>
          <w:i w:val="0"/>
          <w:iCs w:val="0"/>
          <w:caps w:val="0"/>
          <w:color w:val="auto"/>
          <w:spacing w:val="0"/>
          <w:kern w:val="2"/>
          <w:sz w:val="32"/>
          <w:szCs w:val="32"/>
          <w:lang w:val="en-US" w:eastAsia="zh-CN" w:bidi="ar"/>
        </w:rPr>
        <w:t>在福建省内提供服务、代理案件等不额外支付差旅费，赴福建省外提供服务、代理案件等差旅费根据具体服务（代理）项目情况协商一致后签订专项服务（代理）协议。</w:t>
      </w:r>
    </w:p>
    <w:p w14:paraId="55C957BC">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
        </w:rPr>
        <w:t>（十一）</w:t>
      </w:r>
      <w:r>
        <w:rPr>
          <w:rFonts w:hint="eastAsia" w:ascii="仿宋_GB2312" w:hAnsi="仿宋_GB2312" w:eastAsia="仿宋_GB2312" w:cs="仿宋_GB2312"/>
          <w:b w:val="0"/>
          <w:bCs w:val="0"/>
          <w:color w:val="auto"/>
          <w:kern w:val="2"/>
          <w:sz w:val="32"/>
          <w:szCs w:val="32"/>
          <w:lang w:val="en-US" w:eastAsia="zh-CN" w:bidi="ar"/>
        </w:rPr>
        <w:t>保密义务：</w:t>
      </w:r>
      <w:r>
        <w:rPr>
          <w:rFonts w:hint="eastAsia" w:ascii="仿宋_GB2312" w:hAnsi="仿宋_GB2312" w:eastAsia="仿宋_GB2312" w:cs="仿宋_GB2312"/>
          <w:color w:val="auto"/>
          <w:kern w:val="2"/>
          <w:sz w:val="32"/>
          <w:szCs w:val="32"/>
          <w:lang w:val="en-US" w:eastAsia="zh-CN" w:bidi="ar"/>
        </w:rPr>
        <w:t>服务商须对服务过程中接触的采购人机密信息（如未公开科研成果、患者隐私等）严格保密，未经允许不得泄露或用于其他用途。保密义务不因合同终止而解除。</w:t>
      </w:r>
    </w:p>
    <w:p w14:paraId="6C2228F9">
      <w:pPr>
        <w:pStyle w:val="3"/>
        <w:keepNext w:val="0"/>
        <w:keepLines w:val="0"/>
        <w:widowControl w:val="0"/>
        <w:suppressLineNumbers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i w:val="0"/>
          <w:iCs w:val="0"/>
          <w:caps w:val="0"/>
          <w:color w:val="auto"/>
          <w:spacing w:val="0"/>
          <w:kern w:val="2"/>
          <w:sz w:val="32"/>
          <w:szCs w:val="32"/>
          <w:lang w:val="en-US" w:eastAsia="zh-CN" w:bidi="ar"/>
        </w:rPr>
        <w:t>（十二）</w:t>
      </w:r>
      <w:r>
        <w:rPr>
          <w:rFonts w:hint="eastAsia" w:ascii="仿宋_GB2312" w:hAnsi="仿宋_GB2312" w:eastAsia="仿宋_GB2312" w:cs="仿宋_GB2312"/>
          <w:color w:val="auto"/>
          <w:kern w:val="2"/>
          <w:sz w:val="32"/>
          <w:szCs w:val="32"/>
          <w:lang w:val="en-US" w:eastAsia="zh-CN" w:bidi="ar"/>
        </w:rPr>
        <w:t>团队与服务保障：未经采购人同意，不得为与医院具有法律上利益冲突的另一方提供法律意见或代理，不得为医院员工个人提供任何与采购人利益相冲突的法律意见。</w:t>
      </w:r>
    </w:p>
    <w:p w14:paraId="7EF1B1B6">
      <w:pPr>
        <w:pStyle w:val="3"/>
        <w:keepNext w:val="0"/>
        <w:keepLines w:val="0"/>
        <w:widowControl w:val="0"/>
        <w:suppressLineNumbers w:val="0"/>
        <w:spacing w:before="0" w:beforeAutospacing="0" w:after="0" w:afterAutospacing="0" w:line="600" w:lineRule="exact"/>
        <w:ind w:left="0" w:right="0" w:firstLine="640" w:firstLineChars="200"/>
        <w:jc w:val="both"/>
        <w:rPr>
          <w:rFonts w:hint="eastAsia" w:ascii="仿宋_GB2312" w:hAnsi="仿宋_GB2312" w:eastAsia="仿宋_GB2312" w:cs="仿宋_GB2312"/>
          <w:color w:val="auto"/>
          <w:kern w:val="2"/>
          <w:sz w:val="32"/>
          <w:szCs w:val="32"/>
          <w:shd w:val="clear" w:fill="FFFFFF"/>
        </w:rPr>
      </w:pPr>
      <w:r>
        <w:rPr>
          <w:rFonts w:hint="eastAsia" w:ascii="仿宋_GB2312" w:hAnsi="仿宋_GB2312" w:eastAsia="仿宋_GB2312" w:cs="仿宋_GB2312"/>
          <w:color w:val="auto"/>
          <w:kern w:val="2"/>
          <w:sz w:val="32"/>
          <w:szCs w:val="32"/>
          <w:shd w:val="clear" w:fill="FFFFFF"/>
          <w:lang w:val="en-US" w:eastAsia="zh-CN" w:bidi="ar"/>
        </w:rPr>
        <w:t>（十三）</w:t>
      </w:r>
      <w:r>
        <w:rPr>
          <w:rFonts w:hint="eastAsia" w:ascii="仿宋_GB2312" w:hAnsi="仿宋_GB2312" w:eastAsia="仿宋_GB2312" w:cs="仿宋_GB2312"/>
          <w:i w:val="0"/>
          <w:iCs w:val="0"/>
          <w:caps w:val="0"/>
          <w:color w:val="auto"/>
          <w:spacing w:val="0"/>
          <w:kern w:val="2"/>
          <w:sz w:val="32"/>
          <w:szCs w:val="32"/>
          <w:shd w:val="clear" w:fill="FFFFFF"/>
          <w:lang w:val="en-US" w:eastAsia="zh-CN" w:bidi="ar"/>
        </w:rPr>
        <w:t>本服务要求作为后续签订合同的必备内容或补充，违反合同约定导致合同无法继续履行或者解除的，应当承担违约责任。造成损失的，违约金按照实际损失计算；实际损失低于2万元或者难以估算的，违约金按2万元计算。</w:t>
      </w:r>
    </w:p>
    <w:p w14:paraId="6DE794A2">
      <w:pPr>
        <w:pStyle w:val="3"/>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eastAsia" w:ascii="黑体" w:hAnsi="宋体" w:eastAsia="黑体" w:cs="黑体"/>
          <w:b/>
          <w:bCs/>
          <w:color w:val="auto"/>
          <w:kern w:val="2"/>
          <w:sz w:val="32"/>
          <w:szCs w:val="32"/>
        </w:rPr>
      </w:pPr>
      <w:r>
        <w:rPr>
          <w:rFonts w:hint="eastAsia" w:ascii="仿宋" w:hAnsi="仿宋" w:eastAsia="仿宋" w:cs="仿宋"/>
          <w:color w:val="auto"/>
          <w:kern w:val="2"/>
          <w:sz w:val="32"/>
          <w:szCs w:val="32"/>
          <w:lang w:val="en-US" w:eastAsia="zh-CN" w:bidi="ar"/>
        </w:rPr>
        <w:t>★</w:t>
      </w:r>
      <w:r>
        <w:rPr>
          <w:rFonts w:hint="eastAsia" w:ascii="黑体" w:hAnsi="宋体" w:eastAsia="黑体" w:cs="黑体"/>
          <w:b/>
          <w:bCs/>
          <w:color w:val="auto"/>
          <w:kern w:val="2"/>
          <w:sz w:val="32"/>
          <w:szCs w:val="32"/>
          <w:lang w:val="en-US" w:eastAsia="zh-CN" w:bidi="ar"/>
        </w:rPr>
        <w:t>四、报价方式</w:t>
      </w:r>
    </w:p>
    <w:p w14:paraId="7DFD3125">
      <w:pPr>
        <w:pStyle w:val="3"/>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eastAsia" w:ascii="Calibri" w:hAnsi="Calibri" w:eastAsia="宋体" w:cs="Times New Roman"/>
          <w:color w:val="auto"/>
          <w:kern w:val="2"/>
          <w:sz w:val="32"/>
          <w:szCs w:val="32"/>
        </w:rPr>
      </w:pPr>
      <w:r>
        <w:rPr>
          <w:rFonts w:hint="eastAsia" w:ascii="仿宋_GB2312" w:hAnsi="Calibri" w:eastAsia="仿宋_GB2312" w:cs="仿宋_GB2312"/>
          <w:color w:val="auto"/>
          <w:kern w:val="2"/>
          <w:sz w:val="32"/>
          <w:szCs w:val="32"/>
          <w:lang w:val="en-US" w:eastAsia="zh-CN" w:bidi="ar"/>
        </w:rPr>
        <w:t>报价方式：报价分为两部分，一部分为常年法律顾问基础服务费用，另一部分为诉讼、仲裁等法律案件的委托代理服务，需加盖律所公章。</w:t>
      </w:r>
    </w:p>
    <w:p w14:paraId="2D2E4E8C">
      <w:pPr>
        <w:rPr>
          <w:color w:val="auto"/>
        </w:rPr>
      </w:pPr>
    </w:p>
    <w:p w14:paraId="663DDC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45A35"/>
    <w:multiLevelType w:val="singleLevel"/>
    <w:tmpl w:val="BC745A35"/>
    <w:lvl w:ilvl="0" w:tentative="0">
      <w:start w:val="9"/>
      <w:numFmt w:val="chineseCounting"/>
      <w:suff w:val="nothing"/>
      <w:lvlText w:val="（%1）"/>
      <w:lvlJc w:val="left"/>
      <w:rPr>
        <w:rFonts w:hint="eastAsia"/>
      </w:rPr>
    </w:lvl>
  </w:abstractNum>
  <w:abstractNum w:abstractNumId="1">
    <w:nsid w:val="E35BB5FE"/>
    <w:multiLevelType w:val="multilevel"/>
    <w:tmpl w:val="E35BB5FE"/>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0952A3"/>
    <w:rsid w:val="4CF330A2"/>
    <w:rsid w:val="4D095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4"/>
      <w:szCs w:val="24"/>
      <w:lang w:val="en-US" w:eastAsia="zh-CN" w:bidi="ar"/>
    </w:rPr>
  </w:style>
  <w:style w:type="paragraph" w:styleId="3">
    <w:name w:val="Normal (Web)"/>
    <w:basedOn w:val="1"/>
    <w:qFormat/>
    <w:uiPriority w:val="0"/>
    <w:rPr>
      <w:sz w:val="24"/>
    </w:rPr>
  </w:style>
  <w:style w:type="paragraph" w:customStyle="1" w:styleId="6">
    <w:name w:val="_Style 3"/>
    <w:basedOn w:val="1"/>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0"/>
      <w:szCs w:val="20"/>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3336</Words>
  <Characters>3361</Characters>
  <Lines>0</Lines>
  <Paragraphs>0</Paragraphs>
  <TotalTime>3</TotalTime>
  <ScaleCrop>false</ScaleCrop>
  <LinksUpToDate>false</LinksUpToDate>
  <CharactersWithSpaces>3370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2026-06-18T03:35:00Z</dcterms:created>
  <dc:creator>招治</dc:creator>
  <cp:lastModifiedBy>Muyihaha</cp:lastModifiedBy>
  <dcterms:modified xsi:type="dcterms:W3CDTF">2026-06-18T07:23:32Z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78D78609506543ADBCC5E6D3A569975F_13</vt:lpwstr>
  </property>
  <property fmtid="{D5CDD505-2E9C-101B-9397-08002B2CF9AE}" pid="4" name="KSOTemplateDocerSaveRecord">
    <vt:lpwstr>eyJoZGlkIjoiNjMzMTExYzEyZWNkZjdmZmYzNGM3NWQ2NTg0OWQxM2UiLCJ1c2VySWQiOiIxOTYzMDk2In0=</vt:lpwstr>
  </property>
</Properties>
</file>