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80" w:lineRule="exact"/>
        <w:jc w:val="center"/>
        <w:rPr>
          <w:rFonts w:ascii="方正小标宋简体" w:hAnsi="宋体" w:eastAsia="方正小标宋简体" w:cs="宋体"/>
          <w:b/>
          <w:bCs/>
          <w:sz w:val="36"/>
          <w:szCs w:val="36"/>
        </w:rPr>
      </w:pPr>
      <w:r>
        <w:rPr>
          <w:rFonts w:hint="eastAsia" w:ascii="方正小标宋简体" w:hAnsi="宋体" w:eastAsia="方正小标宋简体" w:cs="宋体"/>
          <w:b/>
          <w:bCs/>
          <w:sz w:val="36"/>
          <w:szCs w:val="36"/>
        </w:rPr>
        <w:t>关于进口梯度PCR仪采购项目市场需求调查的报告（进口产品）</w:t>
      </w:r>
    </w:p>
    <w:p>
      <w:pPr>
        <w:keepNext w:val="0"/>
        <w:keepLines w:val="0"/>
        <w:pageBreakBefore w:val="0"/>
        <w:kinsoku/>
        <w:wordWrap/>
        <w:overflowPunct/>
        <w:topLinePunct w:val="0"/>
        <w:autoSpaceDE/>
        <w:autoSpaceDN/>
        <w:bidi w:val="0"/>
        <w:adjustRightInd/>
        <w:snapToGrid/>
        <w:spacing w:line="420" w:lineRule="exact"/>
        <w:rPr>
          <w:rFonts w:hint="eastAsia" w:ascii="新宋体" w:hAnsi="新宋体" w:eastAsia="新宋体" w:cs="新宋体"/>
          <w:color w:val="auto"/>
          <w:sz w:val="24"/>
          <w:szCs w:val="24"/>
        </w:rPr>
      </w:pPr>
    </w:p>
    <w:p>
      <w:pPr>
        <w:pStyle w:val="15"/>
        <w:keepNext w:val="0"/>
        <w:keepLines w:val="0"/>
        <w:pageBreakBefore w:val="0"/>
        <w:numPr>
          <w:ilvl w:val="0"/>
          <w:numId w:val="1"/>
        </w:numPr>
        <w:kinsoku/>
        <w:wordWrap/>
        <w:overflowPunct/>
        <w:topLinePunct w:val="0"/>
        <w:autoSpaceDE/>
        <w:autoSpaceDN/>
        <w:bidi w:val="0"/>
        <w:adjustRightInd/>
        <w:snapToGrid/>
        <w:spacing w:line="420" w:lineRule="exact"/>
        <w:ind w:firstLineChars="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采购项目基本情况</w:t>
      </w:r>
    </w:p>
    <w:p>
      <w:pPr>
        <w:keepNext w:val="0"/>
        <w:keepLines w:val="0"/>
        <w:pageBreakBefore w:val="0"/>
        <w:kinsoku/>
        <w:wordWrap/>
        <w:overflowPunct/>
        <w:topLinePunct w:val="0"/>
        <w:autoSpaceDE/>
        <w:autoSpaceDN/>
        <w:bidi w:val="0"/>
        <w:adjustRightInd/>
        <w:snapToGrid/>
        <w:spacing w:line="420" w:lineRule="exact"/>
        <w:ind w:firstLine="540"/>
        <w:rPr>
          <w:rFonts w:hint="eastAsia" w:ascii="新宋体" w:hAnsi="新宋体" w:eastAsia="新宋体" w:cs="新宋体"/>
          <w:color w:val="auto"/>
          <w:kern w:val="0"/>
          <w:sz w:val="24"/>
          <w:szCs w:val="24"/>
          <w:shd w:val="clear" w:color="auto" w:fill="FFFFFF"/>
        </w:rPr>
      </w:pPr>
      <w:r>
        <w:rPr>
          <w:rFonts w:hint="eastAsia" w:ascii="新宋体" w:hAnsi="新宋体" w:eastAsia="新宋体" w:cs="新宋体"/>
          <w:color w:val="auto"/>
          <w:kern w:val="0"/>
          <w:sz w:val="24"/>
          <w:szCs w:val="24"/>
          <w:shd w:val="clear" w:color="auto" w:fill="FFFFFF"/>
          <w:lang w:val="en-US" w:eastAsia="zh-CN"/>
        </w:rPr>
        <w:t>我院</w:t>
      </w:r>
      <w:r>
        <w:rPr>
          <w:rFonts w:hint="eastAsia" w:ascii="新宋体" w:hAnsi="新宋体" w:eastAsia="新宋体" w:cs="新宋体"/>
          <w:color w:val="auto"/>
          <w:kern w:val="0"/>
          <w:sz w:val="24"/>
          <w:szCs w:val="24"/>
          <w:shd w:val="clear" w:color="auto" w:fill="FFFFFF"/>
        </w:rPr>
        <w:t>神经调控代谢性疾病研究中心成立于2020年4月，研究中心负责人是医院引进的澳大利亚籍特聘教授。研究中心具有分子生物学实验平台</w:t>
      </w:r>
      <w:r>
        <w:rPr>
          <w:rFonts w:hint="eastAsia" w:ascii="新宋体" w:hAnsi="新宋体" w:eastAsia="新宋体" w:cs="新宋体"/>
          <w:color w:val="auto"/>
          <w:kern w:val="0"/>
          <w:sz w:val="24"/>
          <w:szCs w:val="24"/>
          <w:shd w:val="clear" w:color="auto" w:fill="FFFFFF"/>
          <w:lang w:eastAsia="zh-CN"/>
        </w:rPr>
        <w:t>、</w:t>
      </w:r>
      <w:r>
        <w:rPr>
          <w:rFonts w:hint="eastAsia" w:ascii="新宋体" w:hAnsi="新宋体" w:eastAsia="新宋体" w:cs="新宋体"/>
          <w:color w:val="auto"/>
          <w:kern w:val="0"/>
          <w:sz w:val="24"/>
          <w:szCs w:val="24"/>
          <w:shd w:val="clear" w:color="auto" w:fill="FFFFFF"/>
        </w:rPr>
        <w:t>动物学实验平台</w:t>
      </w:r>
      <w:r>
        <w:rPr>
          <w:rFonts w:hint="eastAsia" w:ascii="新宋体" w:hAnsi="新宋体" w:eastAsia="新宋体" w:cs="新宋体"/>
          <w:color w:val="auto"/>
          <w:kern w:val="0"/>
          <w:sz w:val="24"/>
          <w:szCs w:val="24"/>
          <w:shd w:val="clear" w:color="auto" w:fill="FFFFFF"/>
          <w:lang w:eastAsia="zh-CN"/>
        </w:rPr>
        <w:t>、</w:t>
      </w:r>
      <w:r>
        <w:rPr>
          <w:rFonts w:hint="eastAsia" w:ascii="新宋体" w:hAnsi="新宋体" w:eastAsia="新宋体" w:cs="新宋体"/>
          <w:color w:val="auto"/>
          <w:kern w:val="0"/>
          <w:sz w:val="24"/>
          <w:szCs w:val="24"/>
          <w:shd w:val="clear" w:color="auto" w:fill="FFFFFF"/>
        </w:rPr>
        <w:t>实验重要仪器设备平台和临床研究成果转化平台。目前已经组建了双线科研团队</w:t>
      </w:r>
      <w:r>
        <w:rPr>
          <w:rFonts w:hint="eastAsia" w:ascii="新宋体" w:hAnsi="新宋体" w:eastAsia="新宋体" w:cs="新宋体"/>
          <w:color w:val="auto"/>
          <w:kern w:val="0"/>
          <w:sz w:val="24"/>
          <w:szCs w:val="24"/>
          <w:shd w:val="clear" w:color="auto" w:fill="FFFFFF"/>
          <w:lang w:eastAsia="zh-CN"/>
        </w:rPr>
        <w:t>：</w:t>
      </w:r>
      <w:r>
        <w:rPr>
          <w:rFonts w:hint="eastAsia" w:ascii="新宋体" w:hAnsi="新宋体" w:eastAsia="新宋体" w:cs="新宋体"/>
          <w:color w:val="auto"/>
          <w:kern w:val="0"/>
          <w:sz w:val="24"/>
          <w:szCs w:val="24"/>
          <w:shd w:val="clear" w:color="auto" w:fill="FFFFFF"/>
        </w:rPr>
        <w:t>神经代谢基础研创团队和干细胞临床转化应用研创团队。开辟了医院15个临床学科共享成果参与的科研协作模式；完成20余场研究中心组织的系列学术讨论及科研SCl文章撰写技能讲座；已正式发表SCI文章50篇；成功获批泉州市高级人才团队资助400万元基金；研究团队核心成员获国家自然科学基金2项，省卫健委资助基金5项。</w:t>
      </w:r>
    </w:p>
    <w:p>
      <w:pPr>
        <w:keepNext w:val="0"/>
        <w:keepLines w:val="0"/>
        <w:pageBreakBefore w:val="0"/>
        <w:kinsoku/>
        <w:wordWrap/>
        <w:overflowPunct/>
        <w:topLinePunct w:val="0"/>
        <w:autoSpaceDE/>
        <w:autoSpaceDN/>
        <w:bidi w:val="0"/>
        <w:adjustRightInd/>
        <w:snapToGrid/>
        <w:spacing w:line="420" w:lineRule="exact"/>
        <w:ind w:firstLine="540"/>
        <w:rPr>
          <w:rFonts w:hint="eastAsia" w:ascii="新宋体" w:hAnsi="新宋体" w:eastAsia="新宋体" w:cs="新宋体"/>
          <w:color w:val="auto"/>
          <w:kern w:val="0"/>
          <w:sz w:val="24"/>
          <w:szCs w:val="24"/>
          <w:shd w:val="clear" w:color="auto" w:fill="FFFFFF"/>
        </w:rPr>
      </w:pPr>
      <w:r>
        <w:rPr>
          <w:rFonts w:hint="eastAsia" w:ascii="新宋体" w:hAnsi="新宋体" w:eastAsia="新宋体" w:cs="新宋体"/>
          <w:color w:val="auto"/>
          <w:kern w:val="0"/>
          <w:sz w:val="24"/>
          <w:szCs w:val="24"/>
          <w:shd w:val="clear" w:color="auto" w:fill="FFFFFF"/>
        </w:rPr>
        <w:t>最近两年</w:t>
      </w:r>
      <w:r>
        <w:rPr>
          <w:rFonts w:hint="eastAsia" w:ascii="新宋体" w:hAnsi="新宋体" w:eastAsia="新宋体" w:cs="新宋体"/>
          <w:color w:val="auto"/>
          <w:sz w:val="24"/>
          <w:szCs w:val="24"/>
          <w:shd w:val="clear" w:color="auto" w:fill="FFFFFF"/>
        </w:rPr>
        <w:t>研究中心</w:t>
      </w:r>
      <w:r>
        <w:rPr>
          <w:rFonts w:hint="eastAsia" w:ascii="新宋体" w:hAnsi="新宋体" w:eastAsia="新宋体" w:cs="新宋体"/>
          <w:color w:val="auto"/>
          <w:kern w:val="0"/>
          <w:sz w:val="24"/>
          <w:szCs w:val="24"/>
          <w:shd w:val="clear" w:color="auto" w:fill="FFFFFF"/>
        </w:rPr>
        <w:t>蓬勃发展，研究人员进一步增多，进行分子生物学实验的本科生、研究生、技术员、院内外技术交流人员增加速度加快，原有的分子生物学设备不能满足中心人员的实验需求。为适应中心进一步发展，需要增添一些必备的分子生物学设备。包括梯度PCR仪1台</w:t>
      </w:r>
      <w:r>
        <w:rPr>
          <w:rFonts w:hint="eastAsia" w:ascii="新宋体" w:hAnsi="新宋体" w:eastAsia="新宋体" w:cs="新宋体"/>
          <w:color w:val="auto"/>
          <w:kern w:val="0"/>
          <w:sz w:val="24"/>
          <w:szCs w:val="24"/>
          <w:shd w:val="clear" w:color="auto" w:fill="FFFFFF"/>
          <w:lang w:eastAsia="zh-CN"/>
        </w:rPr>
        <w:t>，</w:t>
      </w:r>
      <w:r>
        <w:rPr>
          <w:rFonts w:hint="eastAsia" w:ascii="新宋体" w:hAnsi="新宋体" w:eastAsia="新宋体" w:cs="新宋体"/>
          <w:color w:val="auto"/>
          <w:kern w:val="0"/>
          <w:sz w:val="24"/>
          <w:szCs w:val="24"/>
          <w:shd w:val="clear" w:color="auto" w:fill="FFFFFF"/>
          <w:lang w:val="en-US" w:eastAsia="zh-CN"/>
        </w:rPr>
        <w:t>研究中心现没有该种设备</w:t>
      </w:r>
      <w:r>
        <w:rPr>
          <w:rFonts w:hint="eastAsia" w:ascii="新宋体" w:hAnsi="新宋体" w:eastAsia="新宋体" w:cs="新宋体"/>
          <w:color w:val="auto"/>
          <w:kern w:val="0"/>
          <w:sz w:val="24"/>
          <w:szCs w:val="24"/>
          <w:shd w:val="clear" w:color="auto" w:fill="FFFFFF"/>
        </w:rPr>
        <w:t>。</w:t>
      </w:r>
    </w:p>
    <w:p>
      <w:pPr>
        <w:pStyle w:val="2"/>
        <w:keepNext w:val="0"/>
        <w:keepLines w:val="0"/>
        <w:pageBreakBefore w:val="0"/>
        <w:kinsoku/>
        <w:wordWrap/>
        <w:overflowPunct/>
        <w:topLinePunct w:val="0"/>
        <w:autoSpaceDE/>
        <w:autoSpaceDN/>
        <w:bidi w:val="0"/>
        <w:adjustRightInd/>
        <w:snapToGrid/>
        <w:spacing w:line="420" w:lineRule="exact"/>
        <w:ind w:firstLine="480" w:firstLineChars="200"/>
        <w:jc w:val="both"/>
        <w:rPr>
          <w:rFonts w:hint="eastAsia" w:ascii="新宋体" w:hAnsi="新宋体" w:eastAsia="新宋体" w:cs="新宋体"/>
          <w:b w:val="0"/>
          <w:color w:val="auto"/>
          <w:kern w:val="0"/>
          <w:sz w:val="24"/>
          <w:szCs w:val="24"/>
          <w:shd w:val="clear" w:color="auto" w:fill="FFFFFF"/>
        </w:rPr>
      </w:pPr>
      <w:r>
        <w:rPr>
          <w:rFonts w:hint="eastAsia" w:ascii="新宋体" w:hAnsi="新宋体" w:eastAsia="新宋体" w:cs="新宋体"/>
          <w:b w:val="0"/>
          <w:color w:val="auto"/>
          <w:kern w:val="0"/>
          <w:sz w:val="24"/>
          <w:szCs w:val="24"/>
          <w:shd w:val="clear" w:color="auto" w:fill="FFFFFF"/>
        </w:rPr>
        <w:t>梯度PCR仪在本研究中心的用途如下：</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一次性PCR扩增可以设置一系列不同的退火温度条件（温度梯度，通常有8种温度梯度）的PCR仪称作梯度PCR仪。因为被扩增的不同DNA片段，其最适退火温度是不同的，通过设置一系列的梯度退火温度进行扩增，从而一次性PCR扩增，就可以筛选出表达量高的最适退火温度，进行有效的扩增。用于研究未知DNA退火温度的扩增，这样节约成本的同时也节约了时间。梯度PCR仪在不设置梯度的情况下也可以做普通PCR扩增。主要应用于科研、教学机构。    </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本项目将由医院自筹资金购买，预算已获省里批准。</w:t>
      </w:r>
      <w:r>
        <w:rPr>
          <w:rFonts w:hint="eastAsia" w:ascii="新宋体" w:hAnsi="新宋体" w:eastAsia="新宋体" w:cs="新宋体"/>
          <w:color w:val="auto"/>
          <w:sz w:val="24"/>
          <w:szCs w:val="24"/>
          <w:lang w:val="en-US" w:eastAsia="zh-CN"/>
        </w:rPr>
        <w:t>招标预算为5万元。</w:t>
      </w:r>
      <w:bookmarkStart w:id="0" w:name="_GoBack"/>
      <w:bookmarkEnd w:id="0"/>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二、采购需求调查</w:t>
      </w:r>
    </w:p>
    <w:p>
      <w:pPr>
        <w:keepNext w:val="0"/>
        <w:keepLines w:val="0"/>
        <w:pageBreakBefore w:val="0"/>
        <w:kinsoku/>
        <w:wordWrap/>
        <w:overflowPunct/>
        <w:topLinePunct w:val="0"/>
        <w:autoSpaceDE/>
        <w:autoSpaceDN/>
        <w:bidi w:val="0"/>
        <w:adjustRightInd/>
        <w:snapToGrid/>
        <w:spacing w:line="420" w:lineRule="exact"/>
        <w:ind w:left="479" w:leftChars="228"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根据所要开展的实验，提出以下几点需求标准。</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（1）具备温度梯度功能，可进行包括退火温度在内的最佳PCR条件的摸索，PCR产物单一、纯净以便于下游的分子生物学实验。</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（2）温度梯度具备动态变温功能，在不同的退火温度下保持相同的孵育时间，使得PCR产物量具备一致性。</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（3）具备大屏幕触摸屏操作，图形化界面，易于编程，可减少师生学习编程时间。</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（4）热盖具备自适应高度调节模式，不需要用户手工旋紧热盖，操作更简便。</w:t>
      </w:r>
    </w:p>
    <w:p>
      <w:pPr>
        <w:keepNext w:val="0"/>
        <w:keepLines w:val="0"/>
        <w:pageBreakBefore w:val="0"/>
        <w:numPr>
          <w:ilvl w:val="0"/>
          <w:numId w:val="2"/>
        </w:numPr>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pacing w:val="8"/>
          <w:sz w:val="24"/>
          <w:szCs w:val="24"/>
        </w:rPr>
      </w:pPr>
      <w:r>
        <w:rPr>
          <w:rFonts w:hint="eastAsia" w:ascii="新宋体" w:hAnsi="新宋体" w:eastAsia="新宋体" w:cs="新宋体"/>
          <w:color w:val="auto"/>
          <w:sz w:val="24"/>
          <w:szCs w:val="24"/>
        </w:rPr>
        <w:t>采购项目国内产业发展、市场供给、历史成交情况、升级更新、备品备件、耗材等情况。</w:t>
      </w:r>
    </w:p>
    <w:p>
      <w:pPr>
        <w:pStyle w:val="2"/>
        <w:keepNext w:val="0"/>
        <w:keepLines w:val="0"/>
        <w:pageBreakBefore w:val="0"/>
        <w:kinsoku/>
        <w:wordWrap/>
        <w:overflowPunct/>
        <w:topLinePunct w:val="0"/>
        <w:autoSpaceDE/>
        <w:autoSpaceDN/>
        <w:bidi w:val="0"/>
        <w:adjustRightInd/>
        <w:snapToGrid/>
        <w:spacing w:line="420" w:lineRule="exact"/>
        <w:ind w:firstLine="480" w:firstLineChars="200"/>
        <w:jc w:val="both"/>
        <w:rPr>
          <w:rFonts w:hint="eastAsia" w:ascii="新宋体" w:hAnsi="新宋体" w:eastAsia="新宋体" w:cs="新宋体"/>
          <w:color w:val="auto"/>
          <w:spacing w:val="8"/>
          <w:sz w:val="24"/>
          <w:szCs w:val="24"/>
        </w:rPr>
      </w:pPr>
      <w:r>
        <w:rPr>
          <w:rFonts w:hint="eastAsia" w:ascii="新宋体" w:hAnsi="新宋体" w:eastAsia="新宋体" w:cs="新宋体"/>
          <w:b w:val="0"/>
          <w:color w:val="auto"/>
          <w:sz w:val="24"/>
          <w:szCs w:val="24"/>
        </w:rPr>
        <w:t>国内产业发展情况：目前，聚合酶链式反应(PCR)诊断以肝炎、性病、肠道呼吸等传染性疾病以及肿瘤单基因检测为重要应用领域。2020年新冠检测各类技术中，聚合酶链式反应(PCR)诊断技术凭借高敏感度和准确性，被确定为全球新冠诊断的“金标准”。2020年新冠疫情爆发带来的巨大检测需求使得中国PCR行业经历了爆发式的增长。2020年我国PCR仪器行业市场规模达到86亿元，同比增长196.6%。该产业国外比较发达，最早可追溯到80年代末期 ，目前国外比较知名的企业有Bio-Rad（伯乐）、美国ABI、Biometra、Eppendorf（艾本德）等。该产品从90年代引入中国，2000年过后，国内有很多企业开始研发生产普通PCR仪。近年来，随着产业政策的激励以及技术的发展，国内普通PCR厂商也开始研发生产触摸屏式普通PCR仪。如西安天隆，杭州博日，杭州郞基，珠海黑马，大龙仪器等等。</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市场供给：对比NMPA批准各仪器国内外产品、厂商数可以看出，在技术水平要求相对较低的核酸提取/纯化仪及PCR扩增仪领域，国产厂商获批产品数量较多； 目前国内市场主要被上海领成，西安天隆，杭州郞基，珠海黑马，杭州博日五大品牌所占有；进口品牌中美国ABI，美国labnet，美国Bio-rad，日本TaKaRa，英国Techne，德国Eppendorf六大品牌占有率比较高。</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rPr>
      </w:pPr>
      <w:r>
        <w:rPr>
          <w:rFonts w:hint="eastAsia" w:ascii="新宋体" w:hAnsi="新宋体" w:eastAsia="新宋体" w:cs="新宋体"/>
          <w:color w:val="auto"/>
          <w:sz w:val="24"/>
          <w:szCs w:val="24"/>
        </w:rPr>
        <w:t>历史成交情况：与国外企业PCR仪器相比，国内梯度PCR仪器价格范围为26000-28000万元/台，国外代表企业的梯度PCR仪器价格为35000-90000万元/台</w:t>
      </w:r>
    </w:p>
    <w:p>
      <w:pPr>
        <w:rPr>
          <w:rFonts w:hint="eastAsia"/>
        </w:rPr>
      </w:pPr>
      <w:r>
        <w:rPr>
          <w:rFonts w:hint="eastAsia" w:ascii="新宋体" w:hAnsi="新宋体" w:eastAsia="新宋体" w:cs="新宋体"/>
          <w:color w:val="auto"/>
          <w:sz w:val="24"/>
          <w:szCs w:val="24"/>
        </w:rPr>
        <w:drawing>
          <wp:inline distT="0" distB="0" distL="0" distR="0">
            <wp:extent cx="5274310" cy="1660525"/>
            <wp:effectExtent l="0" t="0" r="2540" b="15875"/>
            <wp:docPr id="1" name="图片 1" descr="http://p2.itc.cn/q_70/images03/20201104/773e1f28061242fe9dd377a21d97d98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p2.itc.cn/q_70/images03/20201104/773e1f28061242fe9dd377a21d97d98c.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1661039"/>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升级更新、备品备件、耗材：</w:t>
      </w:r>
    </w:p>
    <w:p>
      <w:pPr>
        <w:pStyle w:val="2"/>
        <w:keepNext w:val="0"/>
        <w:keepLines w:val="0"/>
        <w:pageBreakBefore w:val="0"/>
        <w:kinsoku/>
        <w:wordWrap/>
        <w:overflowPunct/>
        <w:topLinePunct w:val="0"/>
        <w:autoSpaceDE/>
        <w:autoSpaceDN/>
        <w:bidi w:val="0"/>
        <w:adjustRightInd/>
        <w:snapToGrid/>
        <w:spacing w:line="420" w:lineRule="exact"/>
        <w:ind w:firstLine="480" w:firstLineChars="200"/>
        <w:jc w:val="both"/>
        <w:rPr>
          <w:rFonts w:hint="eastAsia" w:ascii="新宋体" w:hAnsi="新宋体" w:eastAsia="新宋体" w:cs="新宋体"/>
          <w:b w:val="0"/>
          <w:color w:val="auto"/>
          <w:sz w:val="24"/>
          <w:szCs w:val="24"/>
        </w:rPr>
      </w:pPr>
      <w:r>
        <w:rPr>
          <w:rFonts w:hint="eastAsia" w:ascii="新宋体" w:hAnsi="新宋体" w:eastAsia="新宋体" w:cs="新宋体"/>
          <w:b w:val="0"/>
          <w:color w:val="auto"/>
          <w:sz w:val="24"/>
          <w:szCs w:val="24"/>
        </w:rPr>
        <w:t>梯度PCR仪国内外厂商均能保证固件和软件的升级更新和足够的备品备件，但由于国外厂商在当地有独家代理商或者一级代理商，独家代理商能够第一时间免费进行固件的升级更新和准备足够的备品备件，国内厂商在当地没有售后维修人员，需要由上海、北京、广州等地派出售后人员，故时效性上不如进口品牌。</w:t>
      </w:r>
    </w:p>
    <w:p>
      <w:pPr>
        <w:keepNext w:val="0"/>
        <w:keepLines w:val="0"/>
        <w:pageBreakBefore w:val="0"/>
        <w:kinsoku/>
        <w:wordWrap/>
        <w:overflowPunct/>
        <w:topLinePunct w:val="0"/>
        <w:autoSpaceDE/>
        <w:autoSpaceDN/>
        <w:bidi w:val="0"/>
        <w:adjustRightInd/>
        <w:snapToGrid/>
        <w:spacing w:line="420" w:lineRule="exact"/>
        <w:ind w:firstLine="56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梯度PCR仪的耗材为PCR单管、8联排管或96孔板，均为开放性耗材，可在市场上自由采购。</w:t>
      </w:r>
    </w:p>
    <w:p>
      <w:pPr>
        <w:keepNext w:val="0"/>
        <w:keepLines w:val="0"/>
        <w:pageBreakBefore w:val="0"/>
        <w:numPr>
          <w:ilvl w:val="0"/>
          <w:numId w:val="2"/>
        </w:numPr>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国产、进口产品价格对比情况，进口产品各供应商竞争情况，近期在政采领域的中标或成交情况及价格情况。</w:t>
      </w:r>
    </w:p>
    <w:p>
      <w:pPr>
        <w:keepNext w:val="0"/>
        <w:keepLines w:val="0"/>
        <w:pageBreakBefore w:val="0"/>
        <w:kinsoku/>
        <w:wordWrap/>
        <w:overflowPunct/>
        <w:topLinePunct w:val="0"/>
        <w:autoSpaceDE/>
        <w:autoSpaceDN/>
        <w:bidi w:val="0"/>
        <w:adjustRightInd/>
        <w:snapToGrid/>
        <w:spacing w:line="420" w:lineRule="exact"/>
        <w:rPr>
          <w:rFonts w:hint="eastAsia" w:ascii="新宋体" w:hAnsi="新宋体" w:eastAsia="新宋体" w:cs="新宋体"/>
          <w:b/>
          <w:bCs/>
          <w:color w:val="auto"/>
          <w:sz w:val="24"/>
          <w:szCs w:val="24"/>
        </w:rPr>
      </w:pPr>
      <w:r>
        <w:rPr>
          <w:rFonts w:hint="eastAsia" w:ascii="新宋体" w:hAnsi="新宋体" w:eastAsia="新宋体" w:cs="新宋体"/>
          <w:b/>
          <w:bCs/>
          <w:color w:val="auto"/>
          <w:sz w:val="24"/>
          <w:szCs w:val="24"/>
        </w:rPr>
        <w:t>国产、进口产品价格对比:</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296"/>
        <w:gridCol w:w="1942"/>
        <w:gridCol w:w="2205"/>
        <w:gridCol w:w="2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keepNext w:val="0"/>
              <w:keepLines w:val="0"/>
              <w:pageBreakBefore w:val="0"/>
              <w:kinsoku/>
              <w:wordWrap/>
              <w:overflowPunct/>
              <w:topLinePunct w:val="0"/>
              <w:autoSpaceDE/>
              <w:autoSpaceDN/>
              <w:bidi w:val="0"/>
              <w:adjustRightInd/>
              <w:snapToGrid/>
              <w:spacing w:line="420" w:lineRule="exac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序号</w:t>
            </w:r>
          </w:p>
        </w:tc>
        <w:tc>
          <w:tcPr>
            <w:tcW w:w="1268"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品牌</w:t>
            </w:r>
          </w:p>
        </w:tc>
        <w:tc>
          <w:tcPr>
            <w:tcW w:w="19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产地</w:t>
            </w:r>
          </w:p>
        </w:tc>
        <w:tc>
          <w:tcPr>
            <w:tcW w:w="2205"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型号</w:t>
            </w:r>
          </w:p>
        </w:tc>
        <w:tc>
          <w:tcPr>
            <w:tcW w:w="24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市场中标价格（万元）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1</w:t>
            </w:r>
          </w:p>
        </w:tc>
        <w:tc>
          <w:tcPr>
            <w:tcW w:w="1268"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Bio-Rad</w:t>
            </w:r>
          </w:p>
        </w:tc>
        <w:tc>
          <w:tcPr>
            <w:tcW w:w="19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美国</w:t>
            </w:r>
          </w:p>
        </w:tc>
        <w:tc>
          <w:tcPr>
            <w:tcW w:w="2205"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T100</w:t>
            </w:r>
          </w:p>
        </w:tc>
        <w:tc>
          <w:tcPr>
            <w:tcW w:w="24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2</w:t>
            </w:r>
          </w:p>
        </w:tc>
        <w:tc>
          <w:tcPr>
            <w:tcW w:w="1268"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 xml:space="preserve">Eppendorf </w:t>
            </w:r>
          </w:p>
        </w:tc>
        <w:tc>
          <w:tcPr>
            <w:tcW w:w="19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德国</w:t>
            </w:r>
          </w:p>
        </w:tc>
        <w:tc>
          <w:tcPr>
            <w:tcW w:w="2205"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MasterCycler PRO</w:t>
            </w:r>
          </w:p>
        </w:tc>
        <w:tc>
          <w:tcPr>
            <w:tcW w:w="24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3</w:t>
            </w:r>
          </w:p>
        </w:tc>
        <w:tc>
          <w:tcPr>
            <w:tcW w:w="1268"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Biometra</w:t>
            </w:r>
          </w:p>
        </w:tc>
        <w:tc>
          <w:tcPr>
            <w:tcW w:w="19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德国</w:t>
            </w:r>
          </w:p>
        </w:tc>
        <w:tc>
          <w:tcPr>
            <w:tcW w:w="2205"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Tprofessional</w:t>
            </w:r>
          </w:p>
        </w:tc>
        <w:tc>
          <w:tcPr>
            <w:tcW w:w="24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4</w:t>
            </w:r>
          </w:p>
        </w:tc>
        <w:tc>
          <w:tcPr>
            <w:tcW w:w="1268"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杭州博日</w:t>
            </w:r>
          </w:p>
        </w:tc>
        <w:tc>
          <w:tcPr>
            <w:tcW w:w="19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中国</w:t>
            </w:r>
          </w:p>
        </w:tc>
        <w:tc>
          <w:tcPr>
            <w:tcW w:w="2205"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LifeTouch</w:t>
            </w:r>
          </w:p>
        </w:tc>
        <w:tc>
          <w:tcPr>
            <w:tcW w:w="2442"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3.0</w:t>
            </w:r>
          </w:p>
        </w:tc>
      </w:tr>
    </w:tbl>
    <w:p>
      <w:pPr>
        <w:keepNext w:val="0"/>
        <w:keepLines w:val="0"/>
        <w:pageBreakBefore w:val="0"/>
        <w:kinsoku/>
        <w:wordWrap/>
        <w:overflowPunct/>
        <w:topLinePunct w:val="0"/>
        <w:autoSpaceDE/>
        <w:autoSpaceDN/>
        <w:bidi w:val="0"/>
        <w:adjustRightInd/>
        <w:snapToGrid/>
        <w:spacing w:line="420" w:lineRule="exact"/>
        <w:ind w:left="420" w:leftChars="200"/>
        <w:rPr>
          <w:rFonts w:hint="eastAsia" w:ascii="新宋体" w:hAnsi="新宋体" w:eastAsia="新宋体" w:cs="新宋体"/>
          <w:color w:val="auto"/>
          <w:sz w:val="24"/>
          <w:szCs w:val="24"/>
        </w:rPr>
      </w:pPr>
    </w:p>
    <w:p>
      <w:pPr>
        <w:keepNext w:val="0"/>
        <w:keepLines w:val="0"/>
        <w:pageBreakBefore w:val="0"/>
        <w:kinsoku/>
        <w:wordWrap/>
        <w:overflowPunct/>
        <w:topLinePunct w:val="0"/>
        <w:autoSpaceDE/>
        <w:autoSpaceDN/>
        <w:bidi w:val="0"/>
        <w:adjustRightInd/>
        <w:snapToGrid/>
        <w:spacing w:line="420" w:lineRule="exact"/>
        <w:ind w:firstLine="482" w:firstLineChars="200"/>
        <w:jc w:val="left"/>
        <w:rPr>
          <w:rFonts w:hint="eastAsia" w:ascii="新宋体" w:hAnsi="新宋体" w:eastAsia="新宋体" w:cs="新宋体"/>
          <w:b/>
          <w:bCs/>
          <w:color w:val="auto"/>
          <w:sz w:val="24"/>
          <w:szCs w:val="24"/>
        </w:rPr>
      </w:pPr>
      <w:r>
        <w:rPr>
          <w:rFonts w:hint="eastAsia" w:ascii="新宋体" w:hAnsi="新宋体" w:eastAsia="新宋体" w:cs="新宋体"/>
          <w:b/>
          <w:bCs/>
          <w:color w:val="auto"/>
          <w:sz w:val="24"/>
          <w:szCs w:val="24"/>
        </w:rPr>
        <w:t>进口产品各供应商竞争情况:</w:t>
      </w:r>
    </w:p>
    <w:p>
      <w:pPr>
        <w:keepNext w:val="0"/>
        <w:keepLines w:val="0"/>
        <w:pageBreakBefore w:val="0"/>
        <w:kinsoku/>
        <w:wordWrap/>
        <w:overflowPunct/>
        <w:topLinePunct w:val="0"/>
        <w:autoSpaceDE/>
        <w:autoSpaceDN/>
        <w:bidi w:val="0"/>
        <w:adjustRightInd/>
        <w:snapToGrid/>
        <w:spacing w:line="420" w:lineRule="exact"/>
        <w:ind w:firstLine="482" w:firstLineChars="200"/>
        <w:jc w:val="left"/>
        <w:rPr>
          <w:rFonts w:hint="eastAsia" w:ascii="新宋体" w:hAnsi="新宋体" w:eastAsia="新宋体" w:cs="新宋体"/>
          <w:b/>
          <w:bCs/>
          <w:color w:val="auto"/>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2333"/>
        <w:gridCol w:w="2550"/>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1</w:t>
            </w:r>
          </w:p>
        </w:tc>
        <w:tc>
          <w:tcPr>
            <w:tcW w:w="2333"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Bio-Rad</w:t>
            </w:r>
          </w:p>
        </w:tc>
        <w:tc>
          <w:tcPr>
            <w:tcW w:w="2550"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美国</w:t>
            </w:r>
          </w:p>
        </w:tc>
        <w:tc>
          <w:tcPr>
            <w:tcW w:w="2689"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2</w:t>
            </w:r>
          </w:p>
        </w:tc>
        <w:tc>
          <w:tcPr>
            <w:tcW w:w="2333"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 xml:space="preserve">Eppendorf </w:t>
            </w:r>
          </w:p>
        </w:tc>
        <w:tc>
          <w:tcPr>
            <w:tcW w:w="2550"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德国</w:t>
            </w:r>
          </w:p>
        </w:tc>
        <w:tc>
          <w:tcPr>
            <w:tcW w:w="2689"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3</w:t>
            </w:r>
          </w:p>
        </w:tc>
        <w:tc>
          <w:tcPr>
            <w:tcW w:w="2333"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Biometra</w:t>
            </w:r>
          </w:p>
        </w:tc>
        <w:tc>
          <w:tcPr>
            <w:tcW w:w="2550"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德国</w:t>
            </w:r>
          </w:p>
        </w:tc>
        <w:tc>
          <w:tcPr>
            <w:tcW w:w="2689"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4</w:t>
            </w:r>
          </w:p>
        </w:tc>
        <w:tc>
          <w:tcPr>
            <w:tcW w:w="2333"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其他品牌</w:t>
            </w:r>
          </w:p>
        </w:tc>
        <w:tc>
          <w:tcPr>
            <w:tcW w:w="2550"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中国</w:t>
            </w:r>
          </w:p>
        </w:tc>
        <w:tc>
          <w:tcPr>
            <w:tcW w:w="2689" w:type="dxa"/>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25%</w:t>
            </w:r>
          </w:p>
        </w:tc>
      </w:tr>
    </w:tbl>
    <w:p>
      <w:pPr>
        <w:pStyle w:val="2"/>
        <w:keepNext w:val="0"/>
        <w:keepLines w:val="0"/>
        <w:pageBreakBefore w:val="0"/>
        <w:kinsoku/>
        <w:wordWrap/>
        <w:overflowPunct/>
        <w:topLinePunct w:val="0"/>
        <w:autoSpaceDE/>
        <w:autoSpaceDN/>
        <w:bidi w:val="0"/>
        <w:adjustRightInd/>
        <w:snapToGrid/>
        <w:spacing w:line="420" w:lineRule="exact"/>
        <w:jc w:val="both"/>
        <w:rPr>
          <w:rFonts w:hint="eastAsia" w:ascii="新宋体" w:hAnsi="新宋体" w:eastAsia="新宋体" w:cs="新宋体"/>
          <w:color w:val="auto"/>
          <w:sz w:val="24"/>
          <w:szCs w:val="24"/>
        </w:rPr>
      </w:pPr>
    </w:p>
    <w:p>
      <w:pPr>
        <w:pStyle w:val="2"/>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b w:val="0"/>
          <w:color w:val="auto"/>
          <w:sz w:val="24"/>
          <w:szCs w:val="24"/>
        </w:rPr>
      </w:pPr>
      <w:r>
        <w:rPr>
          <w:rFonts w:hint="eastAsia" w:ascii="新宋体" w:hAnsi="新宋体" w:eastAsia="新宋体" w:cs="新宋体"/>
          <w:b w:val="0"/>
          <w:color w:val="auto"/>
          <w:sz w:val="24"/>
          <w:szCs w:val="24"/>
        </w:rPr>
        <w:t xml:space="preserve">   4.国产、进口产品的核心技术标准与采购需求标准的对比情况。</w:t>
      </w:r>
    </w:p>
    <w:p>
      <w:pPr>
        <w:pStyle w:val="2"/>
        <w:keepNext w:val="0"/>
        <w:keepLines w:val="0"/>
        <w:pageBreakBefore w:val="0"/>
        <w:kinsoku/>
        <w:wordWrap/>
        <w:overflowPunct/>
        <w:topLinePunct w:val="0"/>
        <w:autoSpaceDE/>
        <w:autoSpaceDN/>
        <w:bidi w:val="0"/>
        <w:adjustRightInd/>
        <w:snapToGrid/>
        <w:spacing w:line="420" w:lineRule="exact"/>
        <w:ind w:firstLine="480" w:firstLineChars="200"/>
        <w:jc w:val="both"/>
        <w:rPr>
          <w:rFonts w:hint="eastAsia" w:ascii="新宋体" w:hAnsi="新宋体" w:eastAsia="新宋体" w:cs="新宋体"/>
          <w:color w:val="auto"/>
          <w:sz w:val="24"/>
          <w:szCs w:val="24"/>
        </w:rPr>
      </w:pPr>
      <w:r>
        <w:rPr>
          <w:rFonts w:hint="eastAsia" w:ascii="新宋体" w:hAnsi="新宋体" w:eastAsia="新宋体" w:cs="新宋体"/>
          <w:b w:val="0"/>
          <w:color w:val="auto"/>
          <w:sz w:val="24"/>
          <w:szCs w:val="24"/>
        </w:rPr>
        <w:t>目前国产普通PCR仪和进口产品性能上还有一些差距，主要体现在以下几个方面：</w:t>
      </w:r>
    </w:p>
    <w:p>
      <w:pPr>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1、不具备温度梯度功能，不能进行包括退火温度在内的最佳PCR条件的摸索，PCR产物有非特异性扩增，不便于下游的分子生物学实验。</w:t>
      </w:r>
    </w:p>
    <w:p>
      <w:pPr>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2、或者有些国产普通PCR仪具备温度梯度功能，但是不具备动态变温功能，在不同的退火温度下无法保持相同的孵育时间，使得PCR产物量不具备一致性。</w:t>
      </w:r>
    </w:p>
    <w:p>
      <w:pPr>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3、不具备大屏幕触摸屏操作，非图形化界面，编程困难，大大增加师生学习编程时间。</w:t>
      </w:r>
    </w:p>
    <w:p>
      <w:pPr>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4、热盖不具备自适应高度调节模式，需要用户手工旋紧热盖，操作复杂。</w:t>
      </w:r>
    </w:p>
    <w:p>
      <w:pPr>
        <w:keepNext w:val="0"/>
        <w:keepLines w:val="0"/>
        <w:pageBreakBefore w:val="0"/>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进口产品具备的优势如下：</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1</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rPr>
        <w:t>、具备温度梯度功能，可进行包括退火温度在内的最佳PCR条件的摸索，PCR产物单一、纯净以便于下游的分子生物学实验。</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2</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rPr>
        <w:t>、温度梯度具备动态变温功能，在不同的退火温度下保持相同的孵育时间，使得PCR产物量具备一致性。</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3</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rPr>
        <w:t>、具备大屏幕触摸屏操作，图形化界面，易于编程，可减少师生学习编程时间。</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4</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rPr>
        <w:t>、热盖具备自适应高度调节模式，不需要用户手工旋紧热盖，操作更简便。</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进口和国产梯度PCR仪对比情况如下：</w:t>
      </w:r>
    </w:p>
    <w:tbl>
      <w:tblPr>
        <w:tblStyle w:val="7"/>
        <w:tblW w:w="917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1"/>
        <w:gridCol w:w="2558"/>
        <w:gridCol w:w="2759"/>
        <w:gridCol w:w="27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101" w:type="dxa"/>
            <w:tcBorders>
              <w:top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生产厂家</w:t>
            </w:r>
          </w:p>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（或品牌）</w:t>
            </w:r>
          </w:p>
        </w:tc>
        <w:tc>
          <w:tcPr>
            <w:tcW w:w="25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lang w:bidi="ar"/>
              </w:rPr>
              <w:t>美国Bio-Rad</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杭州博日</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大龙仪器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1101" w:type="dxa"/>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国别</w:t>
            </w:r>
          </w:p>
        </w:tc>
        <w:tc>
          <w:tcPr>
            <w:tcW w:w="25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产地新加坡</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产地中国</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产地中国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01" w:type="dxa"/>
            <w:tcBorders>
              <w:top w:val="single" w:color="auto" w:sz="4" w:space="0"/>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型 号</w:t>
            </w:r>
          </w:p>
        </w:tc>
        <w:tc>
          <w:tcPr>
            <w:tcW w:w="2558" w:type="dxa"/>
            <w:tcBorders>
              <w:top w:val="single" w:color="auto" w:sz="4" w:space="0"/>
              <w:left w:val="single" w:color="auto" w:sz="4" w:space="0"/>
              <w:bottom w:val="nil"/>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T100</w:t>
            </w:r>
          </w:p>
        </w:tc>
        <w:tc>
          <w:tcPr>
            <w:tcW w:w="2759" w:type="dxa"/>
            <w:tcBorders>
              <w:top w:val="single" w:color="auto" w:sz="4" w:space="0"/>
              <w:left w:val="single" w:color="auto" w:sz="4" w:space="0"/>
              <w:bottom w:val="nil"/>
              <w:right w:val="single" w:color="auto" w:sz="4" w:space="0"/>
            </w:tcBorders>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center"/>
              <w:rPr>
                <w:rFonts w:hint="eastAsia" w:ascii="新宋体" w:hAnsi="新宋体" w:eastAsia="新宋体" w:cs="新宋体"/>
                <w:color w:val="auto"/>
                <w:sz w:val="24"/>
                <w:szCs w:val="24"/>
              </w:rPr>
            </w:pPr>
            <w:r>
              <w:rPr>
                <w:rFonts w:hint="eastAsia" w:ascii="新宋体" w:hAnsi="新宋体" w:eastAsia="新宋体" w:cs="新宋体"/>
                <w:b w:val="0"/>
                <w:bCs w:val="0"/>
                <w:color w:val="auto"/>
                <w:sz w:val="24"/>
                <w:szCs w:val="24"/>
              </w:rPr>
              <w:t>LifeTouch</w:t>
            </w:r>
          </w:p>
        </w:tc>
        <w:tc>
          <w:tcPr>
            <w:tcW w:w="2759" w:type="dxa"/>
            <w:tcBorders>
              <w:top w:val="single" w:color="auto" w:sz="4" w:space="0"/>
              <w:left w:val="single" w:color="auto" w:sz="4" w:space="0"/>
              <w:bottom w:val="nil"/>
              <w:right w:val="single" w:color="auto" w:sz="4" w:space="0"/>
            </w:tcBorders>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center"/>
              <w:rPr>
                <w:rFonts w:hint="eastAsia" w:ascii="新宋体" w:hAnsi="新宋体" w:eastAsia="新宋体" w:cs="新宋体"/>
                <w:b w:val="0"/>
                <w:bCs w:val="0"/>
                <w:color w:val="auto"/>
                <w:kern w:val="0"/>
                <w:sz w:val="24"/>
                <w:szCs w:val="24"/>
              </w:rPr>
            </w:pPr>
            <w:r>
              <w:rPr>
                <w:rFonts w:hint="eastAsia" w:ascii="新宋体" w:hAnsi="新宋体" w:eastAsia="新宋体" w:cs="新宋体"/>
                <w:b w:val="0"/>
                <w:bCs w:val="0"/>
                <w:color w:val="auto"/>
                <w:kern w:val="0"/>
                <w:sz w:val="24"/>
                <w:szCs w:val="24"/>
                <w:lang w:bidi="ar"/>
              </w:rPr>
              <w:t>TC1000-G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是否具备温度梯度功能</w:t>
            </w:r>
          </w:p>
        </w:tc>
        <w:tc>
          <w:tcPr>
            <w:tcW w:w="2558"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具有八行动态升降温温度梯度功能：同时运行8个不同温度</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无</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温度梯度是否具备动态变温功能</w:t>
            </w:r>
          </w:p>
        </w:tc>
        <w:tc>
          <w:tcPr>
            <w:tcW w:w="2558"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温度梯度具备动态变温功能，在不同的退火温度下保持相同的孵育时间，使得PCR产物量具备一致性</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否</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操作界面</w:t>
            </w:r>
          </w:p>
        </w:tc>
        <w:tc>
          <w:tcPr>
            <w:tcW w:w="2558"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新宋体" w:hAnsi="新宋体" w:eastAsia="新宋体" w:cs="新宋体"/>
                <w:color w:val="auto"/>
                <w:kern w:val="0"/>
                <w:sz w:val="24"/>
                <w:szCs w:val="24"/>
                <w:lang w:bidi="ar"/>
              </w:rPr>
            </w:pPr>
            <w:r>
              <w:rPr>
                <w:rFonts w:hint="eastAsia" w:ascii="新宋体" w:hAnsi="新宋体" w:eastAsia="新宋体" w:cs="新宋体"/>
                <w:color w:val="auto"/>
                <w:sz w:val="24"/>
                <w:szCs w:val="24"/>
              </w:rPr>
              <w:t>操作面板为5.7"液晶触摸屏，图形化界面，易于编程，实验过程中实时显示温控及运行状态</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kern w:val="0"/>
                <w:sz w:val="24"/>
                <w:szCs w:val="24"/>
                <w:lang w:bidi="ar"/>
              </w:rPr>
            </w:pPr>
            <w:r>
              <w:rPr>
                <w:rFonts w:hint="eastAsia" w:ascii="新宋体" w:hAnsi="新宋体" w:eastAsia="新宋体" w:cs="新宋体"/>
                <w:color w:val="auto"/>
                <w:sz w:val="24"/>
                <w:szCs w:val="24"/>
              </w:rPr>
              <w:t>LCD屏幕。</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kern w:val="0"/>
                <w:sz w:val="24"/>
                <w:szCs w:val="24"/>
                <w:lang w:bidi="ar"/>
              </w:rPr>
            </w:pPr>
            <w:r>
              <w:rPr>
                <w:rFonts w:hint="eastAsia" w:ascii="新宋体" w:hAnsi="新宋体" w:eastAsia="新宋体" w:cs="新宋体"/>
                <w:color w:val="auto"/>
                <w:sz w:val="24"/>
                <w:szCs w:val="24"/>
              </w:rPr>
              <w:t>LCD屏幕JIN</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是否具备自适应热盖系统</w:t>
            </w:r>
          </w:p>
        </w:tc>
        <w:tc>
          <w:tcPr>
            <w:tcW w:w="25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全自动自适应热盖，无需手工旋转</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手动热盖，需要用户自己旋紧或旋松</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手动热盖，需要用户自己旋紧或旋松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kern w:val="0"/>
                <w:sz w:val="24"/>
                <w:szCs w:val="24"/>
                <w:lang w:bidi="ar"/>
              </w:rPr>
            </w:pPr>
            <w:r>
              <w:rPr>
                <w:rFonts w:hint="eastAsia" w:ascii="新宋体" w:hAnsi="新宋体" w:eastAsia="新宋体" w:cs="新宋体"/>
                <w:color w:val="auto"/>
                <w:sz w:val="24"/>
                <w:szCs w:val="24"/>
              </w:rPr>
              <w:t>2.市场使用情况</w:t>
            </w:r>
          </w:p>
        </w:tc>
        <w:tc>
          <w:tcPr>
            <w:tcW w:w="25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占有率高</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占有率低</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占有率低</w:t>
            </w:r>
          </w:p>
        </w:tc>
      </w:tr>
    </w:tbl>
    <w:p>
      <w:pPr>
        <w:pStyle w:val="2"/>
        <w:keepNext w:val="0"/>
        <w:keepLines w:val="0"/>
        <w:pageBreakBefore w:val="0"/>
        <w:kinsoku/>
        <w:wordWrap/>
        <w:overflowPunct/>
        <w:topLinePunct w:val="0"/>
        <w:autoSpaceDE/>
        <w:autoSpaceDN/>
        <w:bidi w:val="0"/>
        <w:adjustRightInd/>
        <w:snapToGrid/>
        <w:spacing w:line="420" w:lineRule="exact"/>
        <w:rPr>
          <w:rFonts w:hint="eastAsia" w:ascii="新宋体" w:hAnsi="新宋体" w:eastAsia="新宋体" w:cs="新宋体"/>
          <w:color w:val="auto"/>
          <w:sz w:val="24"/>
          <w:szCs w:val="24"/>
        </w:rPr>
      </w:pPr>
    </w:p>
    <w:p>
      <w:pPr>
        <w:keepNext w:val="0"/>
        <w:keepLines w:val="0"/>
        <w:pageBreakBefore w:val="0"/>
        <w:kinsoku/>
        <w:wordWrap/>
        <w:overflowPunct/>
        <w:topLinePunct w:val="0"/>
        <w:autoSpaceDE/>
        <w:autoSpaceDN/>
        <w:bidi w:val="0"/>
        <w:adjustRightInd/>
        <w:snapToGrid/>
        <w:spacing w:line="420" w:lineRule="exac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进口梯度PCR仪的对比如下：</w:t>
      </w:r>
    </w:p>
    <w:p>
      <w:pPr>
        <w:keepNext w:val="0"/>
        <w:keepLines w:val="0"/>
        <w:pageBreakBefore w:val="0"/>
        <w:kinsoku/>
        <w:wordWrap/>
        <w:overflowPunct/>
        <w:topLinePunct w:val="0"/>
        <w:autoSpaceDE/>
        <w:autoSpaceDN/>
        <w:bidi w:val="0"/>
        <w:adjustRightInd/>
        <w:snapToGrid/>
        <w:spacing w:line="420" w:lineRule="exac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调研情况如下：</w:t>
      </w:r>
    </w:p>
    <w:tbl>
      <w:tblPr>
        <w:tblStyle w:val="7"/>
        <w:tblW w:w="917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1"/>
        <w:gridCol w:w="2558"/>
        <w:gridCol w:w="2759"/>
        <w:gridCol w:w="27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101" w:type="dxa"/>
            <w:tcBorders>
              <w:top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生产厂家</w:t>
            </w:r>
          </w:p>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（或品牌）</w:t>
            </w:r>
          </w:p>
        </w:tc>
        <w:tc>
          <w:tcPr>
            <w:tcW w:w="25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lang w:bidi="ar"/>
              </w:rPr>
              <w:t>美国Bio-Rad</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 xml:space="preserve">德国Eppendorf </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kern w:val="0"/>
                <w:sz w:val="24"/>
                <w:szCs w:val="24"/>
              </w:rPr>
              <w:t>德国Biometra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1101" w:type="dxa"/>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国别</w:t>
            </w:r>
          </w:p>
        </w:tc>
        <w:tc>
          <w:tcPr>
            <w:tcW w:w="25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产地新加坡</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产地德国</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产地德国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01" w:type="dxa"/>
            <w:tcBorders>
              <w:top w:val="single" w:color="auto" w:sz="4" w:space="0"/>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型 号</w:t>
            </w:r>
          </w:p>
        </w:tc>
        <w:tc>
          <w:tcPr>
            <w:tcW w:w="2558" w:type="dxa"/>
            <w:tcBorders>
              <w:top w:val="single" w:color="auto" w:sz="4" w:space="0"/>
              <w:left w:val="single" w:color="auto" w:sz="4" w:space="0"/>
              <w:bottom w:val="nil"/>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T100</w:t>
            </w:r>
          </w:p>
        </w:tc>
        <w:tc>
          <w:tcPr>
            <w:tcW w:w="2759" w:type="dxa"/>
            <w:tcBorders>
              <w:top w:val="single" w:color="auto" w:sz="4" w:space="0"/>
              <w:left w:val="single" w:color="auto" w:sz="4" w:space="0"/>
              <w:bottom w:val="nil"/>
              <w:right w:val="single" w:color="auto" w:sz="4" w:space="0"/>
            </w:tcBorders>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center"/>
              <w:rPr>
                <w:rFonts w:hint="eastAsia" w:ascii="新宋体" w:hAnsi="新宋体" w:eastAsia="新宋体" w:cs="新宋体"/>
                <w:color w:val="auto"/>
                <w:sz w:val="24"/>
                <w:szCs w:val="24"/>
              </w:rPr>
            </w:pPr>
            <w:r>
              <w:rPr>
                <w:rFonts w:hint="eastAsia" w:ascii="新宋体" w:hAnsi="新宋体" w:eastAsia="新宋体" w:cs="新宋体"/>
                <w:b w:val="0"/>
                <w:bCs w:val="0"/>
                <w:color w:val="auto"/>
                <w:sz w:val="24"/>
                <w:szCs w:val="24"/>
              </w:rPr>
              <w:t>MasterCycler PRO</w:t>
            </w:r>
          </w:p>
        </w:tc>
        <w:tc>
          <w:tcPr>
            <w:tcW w:w="2759" w:type="dxa"/>
            <w:tcBorders>
              <w:top w:val="single" w:color="auto" w:sz="4" w:space="0"/>
              <w:left w:val="single" w:color="auto" w:sz="4" w:space="0"/>
              <w:bottom w:val="nil"/>
              <w:right w:val="single" w:color="auto" w:sz="4" w:space="0"/>
            </w:tcBorders>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center"/>
              <w:rPr>
                <w:rFonts w:hint="eastAsia" w:ascii="新宋体" w:hAnsi="新宋体" w:eastAsia="新宋体" w:cs="新宋体"/>
                <w:b w:val="0"/>
                <w:bCs w:val="0"/>
                <w:color w:val="auto"/>
                <w:kern w:val="0"/>
                <w:sz w:val="24"/>
                <w:szCs w:val="24"/>
              </w:rPr>
            </w:pPr>
            <w:r>
              <w:rPr>
                <w:rFonts w:hint="eastAsia" w:ascii="新宋体" w:hAnsi="新宋体" w:eastAsia="新宋体" w:cs="新宋体"/>
                <w:b w:val="0"/>
                <w:bCs w:val="0"/>
                <w:color w:val="auto"/>
                <w:kern w:val="0"/>
                <w:sz w:val="24"/>
                <w:szCs w:val="24"/>
              </w:rPr>
              <w:t>Tprofessional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是否具备温度梯度功能</w:t>
            </w:r>
          </w:p>
        </w:tc>
        <w:tc>
          <w:tcPr>
            <w:tcW w:w="2558"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具有八行动态升降温温度梯度功能：同时运行8个不同温度</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具有12列温度梯度功能</w:t>
            </w:r>
          </w:p>
          <w:p>
            <w:pPr>
              <w:pStyle w:val="2"/>
              <w:keepNext w:val="0"/>
              <w:keepLines w:val="0"/>
              <w:pageBreakBefore w:val="0"/>
              <w:kinsoku/>
              <w:wordWrap/>
              <w:overflowPunct/>
              <w:topLinePunct w:val="0"/>
              <w:autoSpaceDE/>
              <w:autoSpaceDN/>
              <w:bidi w:val="0"/>
              <w:adjustRightInd/>
              <w:snapToGrid/>
              <w:spacing w:line="420" w:lineRule="exact"/>
              <w:rPr>
                <w:rFonts w:hint="eastAsia" w:ascii="新宋体" w:hAnsi="新宋体" w:eastAsia="新宋体" w:cs="新宋体"/>
                <w:color w:val="auto"/>
                <w:sz w:val="24"/>
                <w:szCs w:val="24"/>
              </w:rPr>
            </w:pPr>
            <w:r>
              <w:rPr>
                <w:rFonts w:hint="eastAsia" w:ascii="新宋体" w:hAnsi="新宋体" w:eastAsia="新宋体" w:cs="新宋体"/>
                <w:b w:val="0"/>
                <w:color w:val="auto"/>
                <w:sz w:val="24"/>
                <w:szCs w:val="24"/>
              </w:rPr>
              <w:t>同时运行12个不同温度</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具有12列温度梯度功能同时运行12个不同温度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温度梯度是否具备动态变温功能</w:t>
            </w:r>
          </w:p>
        </w:tc>
        <w:tc>
          <w:tcPr>
            <w:tcW w:w="2558"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温度梯度具备动态变温功能，在不同的退火温度下保持相同的孵育时间，使得PCR产物量具备一致性</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否</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操作界面</w:t>
            </w:r>
          </w:p>
        </w:tc>
        <w:tc>
          <w:tcPr>
            <w:tcW w:w="2558"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新宋体" w:hAnsi="新宋体" w:eastAsia="新宋体" w:cs="新宋体"/>
                <w:color w:val="auto"/>
                <w:kern w:val="0"/>
                <w:sz w:val="24"/>
                <w:szCs w:val="24"/>
                <w:lang w:bidi="ar"/>
              </w:rPr>
            </w:pPr>
            <w:r>
              <w:rPr>
                <w:rFonts w:hint="eastAsia" w:ascii="新宋体" w:hAnsi="新宋体" w:eastAsia="新宋体" w:cs="新宋体"/>
                <w:color w:val="auto"/>
                <w:sz w:val="24"/>
                <w:szCs w:val="24"/>
              </w:rPr>
              <w:t>操作面板为5.7"液晶触摸屏，图形化界面，易于编程，实验过程中实时显示温控及运行状态</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kern w:val="0"/>
                <w:sz w:val="24"/>
                <w:szCs w:val="24"/>
                <w:lang w:bidi="ar"/>
              </w:rPr>
            </w:pPr>
            <w:r>
              <w:rPr>
                <w:rFonts w:hint="eastAsia" w:ascii="新宋体" w:hAnsi="新宋体" w:eastAsia="新宋体" w:cs="新宋体"/>
                <w:color w:val="auto"/>
                <w:sz w:val="24"/>
                <w:szCs w:val="24"/>
              </w:rPr>
              <w:t>彩色屏幕，通过按键控制。</w:t>
            </w:r>
          </w:p>
        </w:tc>
        <w:tc>
          <w:tcPr>
            <w:tcW w:w="275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新宋体" w:hAnsi="新宋体" w:eastAsia="新宋体" w:cs="新宋体"/>
                <w:color w:val="auto"/>
                <w:kern w:val="0"/>
                <w:sz w:val="24"/>
                <w:szCs w:val="24"/>
                <w:lang w:bidi="ar"/>
              </w:rPr>
            </w:pPr>
            <w:r>
              <w:rPr>
                <w:rFonts w:hint="eastAsia" w:ascii="新宋体" w:hAnsi="新宋体" w:eastAsia="新宋体" w:cs="新宋体"/>
                <w:color w:val="auto"/>
                <w:sz w:val="24"/>
                <w:szCs w:val="24"/>
              </w:rPr>
              <w:t>LCD屏幕JIN</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热盖系统</w:t>
            </w:r>
          </w:p>
        </w:tc>
        <w:tc>
          <w:tcPr>
            <w:tcW w:w="25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全自动自适应热盖，无需手工旋转</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手动热盖，需要用户自己旋紧或旋松</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手动热盖，需要用户自己旋紧或旋松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01" w:type="dxa"/>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新宋体" w:hAnsi="新宋体" w:eastAsia="新宋体" w:cs="新宋体"/>
                <w:color w:val="auto"/>
                <w:kern w:val="0"/>
                <w:sz w:val="24"/>
                <w:szCs w:val="24"/>
                <w:lang w:bidi="ar"/>
              </w:rPr>
            </w:pPr>
            <w:r>
              <w:rPr>
                <w:rFonts w:hint="eastAsia" w:ascii="新宋体" w:hAnsi="新宋体" w:eastAsia="新宋体" w:cs="新宋体"/>
                <w:color w:val="auto"/>
                <w:sz w:val="24"/>
                <w:szCs w:val="24"/>
              </w:rPr>
              <w:t>2.市场使用情况</w:t>
            </w:r>
          </w:p>
        </w:tc>
        <w:tc>
          <w:tcPr>
            <w:tcW w:w="25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占有率高</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占有率低</w:t>
            </w:r>
          </w:p>
        </w:tc>
        <w:tc>
          <w:tcPr>
            <w:tcW w:w="2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eastAsia" w:ascii="新宋体" w:hAnsi="新宋体" w:eastAsia="新宋体" w:cs="新宋体"/>
                <w:color w:val="auto"/>
                <w:kern w:val="0"/>
                <w:sz w:val="24"/>
                <w:szCs w:val="24"/>
                <w:lang w:bidi="ar"/>
              </w:rPr>
            </w:pPr>
            <w:r>
              <w:rPr>
                <w:rFonts w:hint="eastAsia" w:ascii="新宋体" w:hAnsi="新宋体" w:eastAsia="新宋体" w:cs="新宋体"/>
                <w:color w:val="auto"/>
                <w:kern w:val="0"/>
                <w:sz w:val="24"/>
                <w:szCs w:val="24"/>
                <w:lang w:bidi="ar"/>
              </w:rPr>
              <w:t>占有率低</w:t>
            </w:r>
          </w:p>
        </w:tc>
      </w:tr>
    </w:tbl>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三、需求调查过程</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医院设备科及</w:t>
      </w:r>
      <w:r>
        <w:rPr>
          <w:rFonts w:hint="eastAsia" w:ascii="新宋体" w:hAnsi="新宋体" w:eastAsia="新宋体" w:cs="新宋体"/>
          <w:color w:val="auto"/>
          <w:kern w:val="0"/>
          <w:sz w:val="24"/>
          <w:szCs w:val="24"/>
          <w:shd w:val="clear" w:color="auto" w:fill="FFFFFF"/>
        </w:rPr>
        <w:t>神经调控代谢性疾病研究中心</w:t>
      </w:r>
      <w:r>
        <w:rPr>
          <w:rFonts w:hint="eastAsia" w:ascii="新宋体" w:hAnsi="新宋体" w:eastAsia="新宋体" w:cs="新宋体"/>
          <w:color w:val="auto"/>
          <w:sz w:val="24"/>
          <w:szCs w:val="24"/>
        </w:rPr>
        <w:t>在 202</w:t>
      </w:r>
      <w:r>
        <w:rPr>
          <w:rFonts w:hint="eastAsia" w:ascii="新宋体" w:hAnsi="新宋体" w:eastAsia="新宋体" w:cs="新宋体"/>
          <w:color w:val="auto"/>
          <w:sz w:val="24"/>
          <w:szCs w:val="24"/>
          <w:lang w:val="en-US" w:eastAsia="zh-CN"/>
        </w:rPr>
        <w:t>3</w:t>
      </w:r>
      <w:r>
        <w:rPr>
          <w:rFonts w:hint="eastAsia" w:ascii="新宋体" w:hAnsi="新宋体" w:eastAsia="新宋体" w:cs="新宋体"/>
          <w:color w:val="auto"/>
          <w:sz w:val="24"/>
          <w:szCs w:val="24"/>
        </w:rPr>
        <w:t>期间对意向品牌通过官网查询、电话咨询、实地调研、会议机器参观操作等，202</w:t>
      </w:r>
      <w:r>
        <w:rPr>
          <w:rFonts w:hint="eastAsia" w:ascii="新宋体" w:hAnsi="新宋体" w:eastAsia="新宋体" w:cs="新宋体"/>
          <w:color w:val="auto"/>
          <w:sz w:val="24"/>
          <w:szCs w:val="24"/>
          <w:lang w:val="en-US" w:eastAsia="zh-CN"/>
        </w:rPr>
        <w:t>3</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lang w:val="en-US" w:eastAsia="zh-CN"/>
        </w:rPr>
        <w:t>6</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lang w:val="en-US" w:eastAsia="zh-CN"/>
        </w:rPr>
        <w:t>3</w:t>
      </w:r>
      <w:r>
        <w:rPr>
          <w:rFonts w:hint="eastAsia" w:ascii="新宋体" w:hAnsi="新宋体" w:eastAsia="新宋体" w:cs="新宋体"/>
          <w:color w:val="auto"/>
          <w:sz w:val="24"/>
          <w:szCs w:val="24"/>
        </w:rPr>
        <w:t>日在医院外官网公开发布面向全国各潜在品牌的项目采购意向公告，调查了美国Bio-Rad、德国Eppendorf ，德国Biometra，杭州博日，202</w:t>
      </w:r>
      <w:r>
        <w:rPr>
          <w:rFonts w:hint="eastAsia" w:ascii="新宋体" w:hAnsi="新宋体" w:eastAsia="新宋体" w:cs="新宋体"/>
          <w:color w:val="auto"/>
          <w:sz w:val="24"/>
          <w:szCs w:val="24"/>
          <w:lang w:val="en-US" w:eastAsia="zh-CN"/>
        </w:rPr>
        <w:t>3</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lang w:val="en-US" w:eastAsia="zh-CN"/>
        </w:rPr>
        <w:t>10</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lang w:val="en-US" w:eastAsia="zh-CN"/>
        </w:rPr>
        <w:t>26</w:t>
      </w:r>
      <w:r>
        <w:rPr>
          <w:rFonts w:hint="eastAsia" w:ascii="新宋体" w:hAnsi="新宋体" w:eastAsia="新宋体" w:cs="新宋体"/>
          <w:color w:val="auto"/>
          <w:sz w:val="24"/>
          <w:szCs w:val="24"/>
        </w:rPr>
        <w:t>日在医院鲤城院区门诊大楼十楼第三会议室公开组织现场设备论证询价会，有医院主要领导、设备科、审计、采管办、检验等组成的联合谈判小组与供应商、厂家进行面对面谈判询价，参与现场谈判的企业品牌有美国Bio-Rad、德国Eppendorf ，德国Biometra。</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四、调查结论</w:t>
      </w:r>
    </w:p>
    <w:p>
      <w:pPr>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通过</w:t>
      </w:r>
      <w:r>
        <w:rPr>
          <w:rFonts w:hint="eastAsia" w:ascii="新宋体" w:hAnsi="新宋体" w:eastAsia="新宋体" w:cs="新宋体"/>
          <w:color w:val="auto"/>
          <w:sz w:val="24"/>
          <w:szCs w:val="24"/>
          <w:lang w:val="en-US" w:eastAsia="zh-CN"/>
        </w:rPr>
        <w:t>各种</w:t>
      </w:r>
      <w:r>
        <w:rPr>
          <w:rFonts w:hint="eastAsia" w:ascii="新宋体" w:hAnsi="新宋体" w:eastAsia="新宋体" w:cs="新宋体"/>
          <w:color w:val="auto"/>
          <w:sz w:val="24"/>
          <w:szCs w:val="24"/>
        </w:rPr>
        <w:t>调查，我们发现进口PCR里Bio-Rad公司T100梯度PCR仪具有：（1）具备温度梯度功能，可进行包括退火温度在内的最佳PCR条件的摸索，PCR产物单一、纯净以便于下游的分子生物学实验。（2）温度梯度具备动态变温功能，在不同的退火温度下保持相同的孵育时间，使得PCR产物量具备一致性。（3）具备大屏幕触摸屏操作，图形化界面，易于编程，可减少师生学习编程时间。（4）热盖具备自适应高度调节模式，不需要用户手工旋紧热盖，操作更简便。且我们确认进口PCR具有寿命长、故障少、准确率较高、稳定性好等特点，故我们的调查结论认为伯乐T100梯度PCR仪器符合我们实验室对PCR仪器的4个基本需求，故特此向上级主管部门申请购置。</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五、调查结果承诺</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承诺上述需求调查内容真实有效，无虚假情况，本单位对此报告内容的真实性负责。</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六、附件</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向社会调查发出的问询函、函询企业的回复件，如采用电询方式，则提供电询记录（文字版）以及电话录音。召开咨询会、论证会的，提供会议论证结果及相关材料。进行网上征询的提供网页截图。</w:t>
      </w:r>
    </w:p>
    <w:p>
      <w:pPr>
        <w:keepNext w:val="0"/>
        <w:keepLines w:val="0"/>
        <w:pageBreakBefore w:val="0"/>
        <w:kinsoku/>
        <w:wordWrap/>
        <w:overflowPunct/>
        <w:topLinePunct w:val="0"/>
        <w:autoSpaceDE/>
        <w:autoSpaceDN/>
        <w:bidi w:val="0"/>
        <w:adjustRightInd/>
        <w:snapToGrid/>
        <w:spacing w:line="420" w:lineRule="exact"/>
        <w:ind w:firstLine="364" w:firstLineChars="152"/>
        <w:rPr>
          <w:rFonts w:hint="eastAsia" w:ascii="新宋体" w:hAnsi="新宋体" w:eastAsia="新宋体" w:cs="新宋体"/>
          <w:color w:val="auto"/>
          <w:sz w:val="24"/>
          <w:szCs w:val="24"/>
        </w:rPr>
      </w:pPr>
    </w:p>
    <w:p>
      <w:pPr>
        <w:pStyle w:val="2"/>
        <w:rPr>
          <w:rFonts w:hint="eastAsia" w:ascii="新宋体" w:hAnsi="新宋体" w:eastAsia="新宋体" w:cs="新宋体"/>
          <w:color w:val="auto"/>
          <w:sz w:val="24"/>
          <w:szCs w:val="24"/>
        </w:rPr>
      </w:pPr>
    </w:p>
    <w:p>
      <w:pPr>
        <w:rPr>
          <w:rFonts w:hint="eastAsia" w:ascii="新宋体" w:hAnsi="新宋体" w:eastAsia="新宋体" w:cs="新宋体"/>
          <w:color w:val="auto"/>
          <w:sz w:val="24"/>
          <w:szCs w:val="24"/>
        </w:rPr>
      </w:pPr>
    </w:p>
    <w:p>
      <w:pPr>
        <w:pStyle w:val="2"/>
        <w:rPr>
          <w:rFonts w:hint="eastAsia" w:ascii="新宋体" w:hAnsi="新宋体" w:eastAsia="新宋体" w:cs="新宋体"/>
          <w:color w:val="auto"/>
          <w:sz w:val="24"/>
          <w:szCs w:val="24"/>
        </w:rPr>
      </w:pPr>
    </w:p>
    <w:p>
      <w:pPr>
        <w:rPr>
          <w:rFonts w:hint="eastAsia" w:ascii="新宋体" w:hAnsi="新宋体" w:eastAsia="新宋体" w:cs="新宋体"/>
          <w:color w:val="auto"/>
          <w:sz w:val="24"/>
          <w:szCs w:val="24"/>
        </w:rPr>
      </w:pPr>
    </w:p>
    <w:p>
      <w:pPr>
        <w:pStyle w:val="2"/>
        <w:rPr>
          <w:rFonts w:hint="eastAsia" w:ascii="新宋体" w:hAnsi="新宋体" w:eastAsia="新宋体" w:cs="新宋体"/>
          <w:color w:val="auto"/>
          <w:sz w:val="24"/>
          <w:szCs w:val="24"/>
        </w:rPr>
      </w:pPr>
    </w:p>
    <w:p>
      <w:pPr>
        <w:rPr>
          <w:rFonts w:hint="eastAsia" w:ascii="新宋体" w:hAnsi="新宋体" w:eastAsia="新宋体" w:cs="新宋体"/>
          <w:color w:val="auto"/>
          <w:sz w:val="24"/>
          <w:szCs w:val="24"/>
        </w:rPr>
      </w:pPr>
    </w:p>
    <w:p>
      <w:pPr>
        <w:pStyle w:val="2"/>
        <w:rPr>
          <w:rFonts w:hint="eastAsia" w:ascii="新宋体" w:hAnsi="新宋体" w:eastAsia="新宋体" w:cs="新宋体"/>
          <w:color w:val="auto"/>
          <w:sz w:val="24"/>
          <w:szCs w:val="24"/>
        </w:rPr>
      </w:pPr>
    </w:p>
    <w:p>
      <w:pPr>
        <w:rPr>
          <w:rFonts w:hint="eastAsia" w:ascii="新宋体" w:hAnsi="新宋体" w:eastAsia="新宋体" w:cs="新宋体"/>
          <w:color w:val="auto"/>
          <w:sz w:val="24"/>
          <w:szCs w:val="24"/>
        </w:rPr>
      </w:pPr>
    </w:p>
    <w:p>
      <w:pPr>
        <w:pStyle w:val="2"/>
        <w:rPr>
          <w:rFonts w:hint="eastAsia" w:ascii="新宋体" w:hAnsi="新宋体" w:eastAsia="新宋体" w:cs="新宋体"/>
          <w:color w:val="auto"/>
          <w:sz w:val="24"/>
          <w:szCs w:val="24"/>
        </w:rPr>
      </w:pPr>
    </w:p>
    <w:p>
      <w:pPr>
        <w:rPr>
          <w:rFonts w:hint="eastAsia" w:ascii="新宋体" w:hAnsi="新宋体" w:eastAsia="新宋体" w:cs="新宋体"/>
          <w:color w:val="auto"/>
          <w:sz w:val="24"/>
          <w:szCs w:val="24"/>
        </w:rPr>
      </w:pPr>
    </w:p>
    <w:p>
      <w:pPr>
        <w:pStyle w:val="2"/>
        <w:rPr>
          <w:rFonts w:hint="eastAsia" w:ascii="新宋体" w:hAnsi="新宋体" w:eastAsia="新宋体" w:cs="新宋体"/>
          <w:color w:val="auto"/>
          <w:sz w:val="24"/>
          <w:szCs w:val="24"/>
        </w:rPr>
      </w:pPr>
    </w:p>
    <w:p>
      <w:pPr>
        <w:rPr>
          <w:rFonts w:hint="eastAsia" w:ascii="新宋体" w:hAnsi="新宋体" w:eastAsia="新宋体" w:cs="新宋体"/>
          <w:color w:val="auto"/>
          <w:sz w:val="24"/>
          <w:szCs w:val="24"/>
        </w:rPr>
      </w:pPr>
    </w:p>
    <w:p>
      <w:pPr>
        <w:pStyle w:val="2"/>
        <w:rPr>
          <w:rFonts w:hint="eastAsia" w:ascii="新宋体" w:hAnsi="新宋体" w:eastAsia="新宋体" w:cs="新宋体"/>
          <w:color w:val="auto"/>
          <w:sz w:val="24"/>
          <w:szCs w:val="24"/>
        </w:rPr>
      </w:pPr>
    </w:p>
    <w:p>
      <w:pPr>
        <w:rPr>
          <w:rFonts w:hint="eastAsia" w:ascii="新宋体" w:hAnsi="新宋体" w:eastAsia="新宋体" w:cs="新宋体"/>
          <w:color w:val="auto"/>
          <w:sz w:val="24"/>
          <w:szCs w:val="24"/>
        </w:rPr>
      </w:pPr>
    </w:p>
    <w:p>
      <w:pPr>
        <w:pStyle w:val="2"/>
        <w:rPr>
          <w:rFonts w:hint="eastAsia" w:ascii="新宋体" w:hAnsi="新宋体" w:eastAsia="新宋体" w:cs="新宋体"/>
          <w:color w:val="auto"/>
          <w:sz w:val="24"/>
          <w:szCs w:val="24"/>
        </w:rPr>
      </w:pPr>
    </w:p>
    <w:p>
      <w:pPr>
        <w:rPr>
          <w:rFonts w:hint="eastAsia" w:ascii="新宋体" w:hAnsi="新宋体" w:eastAsia="新宋体" w:cs="新宋体"/>
          <w:color w:val="auto"/>
          <w:sz w:val="24"/>
          <w:szCs w:val="24"/>
        </w:rPr>
      </w:pPr>
    </w:p>
    <w:p>
      <w:pPr>
        <w:pStyle w:val="2"/>
        <w:rPr>
          <w:rFonts w:hint="eastAsia" w:ascii="新宋体" w:hAnsi="新宋体" w:eastAsia="新宋体" w:cs="新宋体"/>
          <w:color w:val="auto"/>
          <w:sz w:val="24"/>
          <w:szCs w:val="24"/>
        </w:rPr>
      </w:pPr>
    </w:p>
    <w:p>
      <w:pPr>
        <w:rPr>
          <w:rFonts w:hint="eastAsia" w:ascii="新宋体" w:hAnsi="新宋体" w:eastAsia="新宋体" w:cs="新宋体"/>
          <w:color w:val="auto"/>
          <w:sz w:val="24"/>
          <w:szCs w:val="24"/>
        </w:rPr>
      </w:pPr>
    </w:p>
    <w:p>
      <w:pPr>
        <w:pStyle w:val="2"/>
        <w:rPr>
          <w:rFonts w:hint="eastAsia" w:eastAsia="新宋体"/>
          <w:lang w:eastAsia="zh-CN"/>
        </w:rPr>
      </w:pPr>
      <w:r>
        <w:rPr>
          <w:rFonts w:hint="eastAsia" w:eastAsia="新宋体"/>
          <w:lang w:eastAsia="zh-CN"/>
        </w:rPr>
        <w:drawing>
          <wp:inline distT="0" distB="0" distL="114300" distR="114300">
            <wp:extent cx="5842000" cy="8266430"/>
            <wp:effectExtent l="0" t="0" r="6350" b="1270"/>
            <wp:docPr id="7" name="图片 7" descr="关于医疗设备采购意向的公告--福建医科大学附属第二医院(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关于医疗设备采购意向的公告--福建医科大学附属第二医院(1)_页面_1"/>
                    <pic:cNvPicPr>
                      <a:picLocks noChangeAspect="1"/>
                    </pic:cNvPicPr>
                  </pic:nvPicPr>
                  <pic:blipFill>
                    <a:blip r:embed="rId6"/>
                    <a:stretch>
                      <a:fillRect/>
                    </a:stretch>
                  </pic:blipFill>
                  <pic:spPr>
                    <a:xfrm>
                      <a:off x="0" y="0"/>
                      <a:ext cx="5842000" cy="8266430"/>
                    </a:xfrm>
                    <a:prstGeom prst="rect">
                      <a:avLst/>
                    </a:prstGeom>
                  </pic:spPr>
                </pic:pic>
              </a:graphicData>
            </a:graphic>
          </wp:inline>
        </w:drawing>
      </w:r>
      <w:r>
        <w:rPr>
          <w:rFonts w:hint="eastAsia" w:eastAsia="新宋体"/>
          <w:lang w:eastAsia="zh-CN"/>
        </w:rPr>
        <w:drawing>
          <wp:inline distT="0" distB="0" distL="114300" distR="114300">
            <wp:extent cx="5842000" cy="8266430"/>
            <wp:effectExtent l="0" t="0" r="6350" b="1270"/>
            <wp:docPr id="6" name="图片 6" descr="关于医疗设备采购意向的公告--福建医科大学附属第二医院(1)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关于医疗设备采购意向的公告--福建医科大学附属第二医院(1)_页面_2"/>
                    <pic:cNvPicPr>
                      <a:picLocks noChangeAspect="1"/>
                    </pic:cNvPicPr>
                  </pic:nvPicPr>
                  <pic:blipFill>
                    <a:blip r:embed="rId7"/>
                    <a:stretch>
                      <a:fillRect/>
                    </a:stretch>
                  </pic:blipFill>
                  <pic:spPr>
                    <a:xfrm>
                      <a:off x="0" y="0"/>
                      <a:ext cx="5842000" cy="8266430"/>
                    </a:xfrm>
                    <a:prstGeom prst="rect">
                      <a:avLst/>
                    </a:prstGeom>
                  </pic:spPr>
                </pic:pic>
              </a:graphicData>
            </a:graphic>
          </wp:inline>
        </w:drawing>
      </w:r>
      <w:r>
        <w:rPr>
          <w:rFonts w:hint="eastAsia" w:eastAsia="新宋体"/>
          <w:lang w:eastAsia="zh-CN"/>
        </w:rPr>
        <w:drawing>
          <wp:inline distT="0" distB="0" distL="114300" distR="114300">
            <wp:extent cx="5842000" cy="8266430"/>
            <wp:effectExtent l="0" t="0" r="6350" b="1270"/>
            <wp:docPr id="5" name="图片 5" descr="关于医疗设备采购意向的公告--福建医科大学附属第二医院(1)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关于医疗设备采购意向的公告--福建医科大学附属第二医院(1)_页面_3"/>
                    <pic:cNvPicPr>
                      <a:picLocks noChangeAspect="1"/>
                    </pic:cNvPicPr>
                  </pic:nvPicPr>
                  <pic:blipFill>
                    <a:blip r:embed="rId8"/>
                    <a:stretch>
                      <a:fillRect/>
                    </a:stretch>
                  </pic:blipFill>
                  <pic:spPr>
                    <a:xfrm>
                      <a:off x="0" y="0"/>
                      <a:ext cx="5842000" cy="8266430"/>
                    </a:xfrm>
                    <a:prstGeom prst="rect">
                      <a:avLst/>
                    </a:prstGeom>
                  </pic:spPr>
                </pic:pic>
              </a:graphicData>
            </a:graphic>
          </wp:inline>
        </w:drawing>
      </w:r>
      <w:r>
        <w:rPr>
          <w:rFonts w:hint="eastAsia" w:eastAsia="新宋体"/>
          <w:lang w:eastAsia="zh-CN"/>
        </w:rPr>
        <w:drawing>
          <wp:inline distT="0" distB="0" distL="114300" distR="114300">
            <wp:extent cx="5843270" cy="8266430"/>
            <wp:effectExtent l="0" t="0" r="5080" b="1270"/>
            <wp:docPr id="4" name="图片 4" descr="关于医疗设备采购意向的公告--福建医科大学附属第二医院(1)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关于医疗设备采购意向的公告--福建医科大学附属第二医院(1)_页面_4"/>
                    <pic:cNvPicPr>
                      <a:picLocks noChangeAspect="1"/>
                    </pic:cNvPicPr>
                  </pic:nvPicPr>
                  <pic:blipFill>
                    <a:blip r:embed="rId9"/>
                    <a:stretch>
                      <a:fillRect/>
                    </a:stretch>
                  </pic:blipFill>
                  <pic:spPr>
                    <a:xfrm>
                      <a:off x="0" y="0"/>
                      <a:ext cx="5843270" cy="826643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420" w:lineRule="exact"/>
        <w:ind w:left="479" w:leftChars="228" w:firstLine="600" w:firstLineChars="250"/>
        <w:rPr>
          <w:sz w:val="36"/>
          <w:szCs w:val="36"/>
        </w:rPr>
      </w:pPr>
      <w:r>
        <w:rPr>
          <w:rFonts w:hint="eastAsia" w:ascii="新宋体" w:hAnsi="新宋体" w:eastAsia="新宋体" w:cs="新宋体"/>
          <w:color w:val="auto"/>
          <w:sz w:val="24"/>
          <w:szCs w:val="24"/>
        </w:rPr>
        <w:t xml:space="preserve">                        </w:t>
      </w:r>
      <w:r>
        <w:rPr>
          <w:rFonts w:hint="eastAsia" w:ascii="宋体" w:hAnsi="宋体" w:cs="宋体"/>
          <w:sz w:val="36"/>
          <w:szCs w:val="36"/>
        </w:rPr>
        <w:t xml:space="preserve">           </w:t>
      </w:r>
    </w:p>
    <w:sectPr>
      <w:footerReference r:id="rId3" w:type="default"/>
      <w:pgSz w:w="11906" w:h="16838"/>
      <w:pgMar w:top="1213" w:right="1349" w:bottom="1213" w:left="134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20B0604020202020204"/>
    <w:charset w:val="86"/>
    <w:family w:val="script"/>
    <w:pitch w:val="default"/>
    <w:sig w:usb0="00000000" w:usb1="00000000" w:usb2="00000010" w:usb3="00000000" w:csb0="00040000"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507A2F"/>
    <w:multiLevelType w:val="singleLevel"/>
    <w:tmpl w:val="CB507A2F"/>
    <w:lvl w:ilvl="0" w:tentative="0">
      <w:start w:val="2"/>
      <w:numFmt w:val="decimal"/>
      <w:lvlText w:val="%1."/>
      <w:lvlJc w:val="left"/>
      <w:pPr>
        <w:tabs>
          <w:tab w:val="left" w:pos="312"/>
        </w:tabs>
      </w:pPr>
    </w:lvl>
  </w:abstractNum>
  <w:abstractNum w:abstractNumId="1">
    <w:nsid w:val="58421BE1"/>
    <w:multiLevelType w:val="multilevel"/>
    <w:tmpl w:val="58421BE1"/>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0NDhkYzMxNTMyOWM4NTI3OTJkOGM0OGIwMDg4N2YifQ=="/>
  </w:docVars>
  <w:rsids>
    <w:rsidRoot w:val="2DF34CCA"/>
    <w:rsid w:val="00005D6C"/>
    <w:rsid w:val="00053A98"/>
    <w:rsid w:val="000553BB"/>
    <w:rsid w:val="000C17A7"/>
    <w:rsid w:val="00117EE0"/>
    <w:rsid w:val="001B07FF"/>
    <w:rsid w:val="00214B69"/>
    <w:rsid w:val="00230CE2"/>
    <w:rsid w:val="0024153D"/>
    <w:rsid w:val="00277F89"/>
    <w:rsid w:val="002E0B95"/>
    <w:rsid w:val="00321B51"/>
    <w:rsid w:val="003D65B8"/>
    <w:rsid w:val="003F49B6"/>
    <w:rsid w:val="00427F97"/>
    <w:rsid w:val="004440C8"/>
    <w:rsid w:val="004B721D"/>
    <w:rsid w:val="004C0D62"/>
    <w:rsid w:val="004C4861"/>
    <w:rsid w:val="0053522A"/>
    <w:rsid w:val="00556E71"/>
    <w:rsid w:val="00560113"/>
    <w:rsid w:val="00572283"/>
    <w:rsid w:val="00671D02"/>
    <w:rsid w:val="006B4005"/>
    <w:rsid w:val="006D6254"/>
    <w:rsid w:val="00791FBD"/>
    <w:rsid w:val="007972C1"/>
    <w:rsid w:val="007A06F9"/>
    <w:rsid w:val="007C73B7"/>
    <w:rsid w:val="008127F8"/>
    <w:rsid w:val="00863226"/>
    <w:rsid w:val="00876ACD"/>
    <w:rsid w:val="0095369E"/>
    <w:rsid w:val="009B251B"/>
    <w:rsid w:val="009D5AEE"/>
    <w:rsid w:val="009F0BAC"/>
    <w:rsid w:val="00A86630"/>
    <w:rsid w:val="00A95655"/>
    <w:rsid w:val="00B13D1A"/>
    <w:rsid w:val="00B228EA"/>
    <w:rsid w:val="00BA65D3"/>
    <w:rsid w:val="00BA6B6C"/>
    <w:rsid w:val="00BE2AF1"/>
    <w:rsid w:val="00C46510"/>
    <w:rsid w:val="00C62A2A"/>
    <w:rsid w:val="00C73BE9"/>
    <w:rsid w:val="00CB0EFB"/>
    <w:rsid w:val="00CF36D9"/>
    <w:rsid w:val="00D212A4"/>
    <w:rsid w:val="00D24F95"/>
    <w:rsid w:val="00D8206F"/>
    <w:rsid w:val="00DB621A"/>
    <w:rsid w:val="00E962B8"/>
    <w:rsid w:val="00EA6B52"/>
    <w:rsid w:val="00EF13B5"/>
    <w:rsid w:val="00F10D21"/>
    <w:rsid w:val="00F43CFA"/>
    <w:rsid w:val="00F86199"/>
    <w:rsid w:val="00FB4B15"/>
    <w:rsid w:val="01FC6955"/>
    <w:rsid w:val="06EE29E4"/>
    <w:rsid w:val="143D54B6"/>
    <w:rsid w:val="22C90428"/>
    <w:rsid w:val="285247BC"/>
    <w:rsid w:val="2DF34CCA"/>
    <w:rsid w:val="33A32D25"/>
    <w:rsid w:val="41A113EA"/>
    <w:rsid w:val="47D0380D"/>
    <w:rsid w:val="50CD6FC3"/>
    <w:rsid w:val="63810703"/>
    <w:rsid w:val="641D1CAF"/>
    <w:rsid w:val="7B4E6013"/>
    <w:rsid w:val="7B946A58"/>
    <w:rsid w:val="7D0B73EA"/>
    <w:rsid w:val="7FA641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qFormat="1"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Title"/>
    <w:basedOn w:val="1"/>
    <w:next w:val="1"/>
    <w:qFormat/>
    <w:uiPriority w:val="0"/>
    <w:pPr>
      <w:jc w:val="center"/>
      <w:outlineLvl w:val="0"/>
    </w:pPr>
    <w:rPr>
      <w:rFonts w:ascii="Arial" w:hAnsi="Arial"/>
      <w:b/>
      <w:sz w:val="32"/>
      <w:szCs w:val="32"/>
    </w:rPr>
  </w:style>
  <w:style w:type="paragraph" w:styleId="4">
    <w:name w:val="Balloon Text"/>
    <w:basedOn w:val="1"/>
    <w:link w:val="16"/>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FollowedHyperlink"/>
    <w:basedOn w:val="9"/>
    <w:semiHidden/>
    <w:unhideWhenUsed/>
    <w:qFormat/>
    <w:uiPriority w:val="0"/>
    <w:rPr>
      <w:color w:val="954F72" w:themeColor="followedHyperlink"/>
      <w:u w:val="single"/>
      <w14:textFill>
        <w14:solidFill>
          <w14:schemeClr w14:val="folHlink"/>
        </w14:solidFill>
      </w14:textFill>
    </w:rPr>
  </w:style>
  <w:style w:type="character" w:styleId="12">
    <w:name w:val="Hyperlink"/>
    <w:basedOn w:val="9"/>
    <w:semiHidden/>
    <w:unhideWhenUsed/>
    <w:qFormat/>
    <w:uiPriority w:val="99"/>
    <w:rPr>
      <w:color w:val="0000FF"/>
      <w:u w:val="single"/>
    </w:rPr>
  </w:style>
  <w:style w:type="character" w:customStyle="1" w:styleId="13">
    <w:name w:val="Header Char"/>
    <w:basedOn w:val="9"/>
    <w:link w:val="6"/>
    <w:qFormat/>
    <w:uiPriority w:val="0"/>
    <w:rPr>
      <w:kern w:val="2"/>
      <w:sz w:val="18"/>
      <w:szCs w:val="18"/>
    </w:rPr>
  </w:style>
  <w:style w:type="character" w:customStyle="1" w:styleId="14">
    <w:name w:val="Footer Char"/>
    <w:basedOn w:val="9"/>
    <w:link w:val="5"/>
    <w:qFormat/>
    <w:uiPriority w:val="0"/>
    <w:rPr>
      <w:kern w:val="2"/>
      <w:sz w:val="18"/>
      <w:szCs w:val="18"/>
    </w:rPr>
  </w:style>
  <w:style w:type="paragraph" w:styleId="15">
    <w:name w:val="List Paragraph"/>
    <w:basedOn w:val="1"/>
    <w:unhideWhenUsed/>
    <w:qFormat/>
    <w:uiPriority w:val="99"/>
    <w:pPr>
      <w:ind w:firstLine="420" w:firstLineChars="200"/>
    </w:pPr>
  </w:style>
  <w:style w:type="character" w:customStyle="1" w:styleId="16">
    <w:name w:val="Balloon Text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8</Pages>
  <Words>680</Words>
  <Characters>3920</Characters>
  <Lines>118</Lines>
  <Paragraphs>77</Paragraphs>
  <TotalTime>3</TotalTime>
  <ScaleCrop>false</ScaleCrop>
  <LinksUpToDate>false</LinksUpToDate>
  <CharactersWithSpaces>4523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2023-05-04T01:48:00Z</dcterms:created>
  <dc:creator>张玮</dc:creator>
  <cp:lastModifiedBy>Administrator</cp:lastModifiedBy>
  <cp:lastPrinted>2023-11-30T08:34:00Z</cp:lastPrinted>
  <dcterms:modified xsi:type="dcterms:W3CDTF">2023-11-30T08:41:42Z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068D36E9E68D465BAE1F266A78B76C84</vt:lpwstr>
  </property>
</Properties>
</file>