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20" w:lineRule="exact"/>
        <w:jc w:val="center"/>
        <w:textAlignment w:val="auto"/>
        <w:rPr>
          <w:rFonts w:ascii="方正小标宋简体" w:hAnsi="宋体" w:eastAsia="方正小标宋简体" w:cs="宋体"/>
          <w:b/>
          <w:bCs/>
          <w:sz w:val="24"/>
          <w:szCs w:val="24"/>
        </w:rPr>
      </w:pPr>
      <w:r>
        <w:rPr>
          <w:rFonts w:hint="eastAsia" w:ascii="方正小标宋简体" w:hAnsi="宋体" w:eastAsia="方正小标宋简体" w:cs="宋体"/>
          <w:b/>
          <w:bCs/>
          <w:sz w:val="36"/>
          <w:szCs w:val="36"/>
        </w:rPr>
        <w:t>关于小型垂直半干转电泳系统设备市场需求调查的报告</w:t>
      </w:r>
      <w:r>
        <w:rPr>
          <w:rFonts w:hint="eastAsia" w:ascii="方正小标宋简体" w:hAnsi="宋体" w:eastAsia="方正小标宋简体" w:cs="宋体"/>
          <w:b/>
          <w:bCs/>
          <w:sz w:val="36"/>
          <w:szCs w:val="36"/>
          <w:lang w:val="en-US" w:eastAsia="zh-CN"/>
        </w:rPr>
        <w:t xml:space="preserve">  </w:t>
      </w:r>
      <w:r>
        <w:rPr>
          <w:rFonts w:hint="eastAsia" w:ascii="方正小标宋简体" w:hAnsi="宋体" w:eastAsia="方正小标宋简体" w:cs="宋体"/>
          <w:b/>
          <w:bCs/>
          <w:sz w:val="36"/>
          <w:szCs w:val="36"/>
        </w:rPr>
        <w:t>（进口产品</w:t>
      </w:r>
      <w:r>
        <w:rPr>
          <w:rFonts w:hint="eastAsia" w:ascii="方正小标宋简体" w:hAnsi="宋体" w:eastAsia="方正小标宋简体" w:cs="宋体"/>
          <w:b/>
          <w:bCs/>
          <w:sz w:val="24"/>
          <w:szCs w:val="24"/>
        </w:rPr>
        <w:t>）</w:t>
      </w:r>
    </w:p>
    <w:p>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FangSong_GB2312" w:hAnsi="宋体" w:eastAsia="FangSong_GB2312" w:cs="宋体"/>
          <w:sz w:val="24"/>
          <w:szCs w:val="24"/>
        </w:rPr>
      </w:pP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一、采购项目基本情况</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介绍采购主体和项目的基本情况，包括项目来由、资金来源，以及采购项目的用途。</w:t>
      </w:r>
    </w:p>
    <w:p>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 xml:space="preserve">    福建医科大学附属第二医院医院神经调控代谢性疾病研究中心成立于2020年4月，研究中心负责人是医院引进的澳大利亚籍特聘教授。研究中心具有分子生物学实验平台</w:t>
      </w:r>
      <w:r>
        <w:rPr>
          <w:rFonts w:hint="eastAsia" w:ascii="宋体" w:hAnsi="宋体" w:cs="微软雅黑"/>
          <w:color w:val="000000" w:themeColor="text1"/>
          <w:kern w:val="0"/>
          <w:sz w:val="24"/>
          <w:szCs w:val="24"/>
          <w:shd w:val="clear" w:color="auto" w:fill="FFFFFF"/>
          <w:lang w:eastAsia="zh-CN"/>
          <w14:textFill>
            <w14:solidFill>
              <w14:schemeClr w14:val="tx1"/>
            </w14:solidFill>
          </w14:textFill>
        </w:rPr>
        <w:t>、</w:t>
      </w:r>
      <w:r>
        <w:rPr>
          <w:rFonts w:hint="eastAsia" w:ascii="宋体" w:hAnsi="宋体" w:cs="微软雅黑"/>
          <w:color w:val="000000" w:themeColor="text1"/>
          <w:kern w:val="0"/>
          <w:sz w:val="24"/>
          <w:szCs w:val="24"/>
          <w:shd w:val="clear" w:color="auto" w:fill="FFFFFF"/>
          <w14:textFill>
            <w14:solidFill>
              <w14:schemeClr w14:val="tx1"/>
            </w14:solidFill>
          </w14:textFill>
        </w:rPr>
        <w:t>动物学实验平台</w:t>
      </w:r>
      <w:r>
        <w:rPr>
          <w:rFonts w:hint="eastAsia" w:ascii="宋体" w:hAnsi="宋体" w:cs="微软雅黑"/>
          <w:color w:val="000000" w:themeColor="text1"/>
          <w:kern w:val="0"/>
          <w:sz w:val="24"/>
          <w:szCs w:val="24"/>
          <w:shd w:val="clear" w:color="auto" w:fill="FFFFFF"/>
          <w:lang w:eastAsia="zh-CN"/>
          <w14:textFill>
            <w14:solidFill>
              <w14:schemeClr w14:val="tx1"/>
            </w14:solidFill>
          </w14:textFill>
        </w:rPr>
        <w:t>、</w:t>
      </w:r>
      <w:r>
        <w:rPr>
          <w:rFonts w:hint="eastAsia" w:ascii="宋体" w:hAnsi="宋体" w:cs="微软雅黑"/>
          <w:color w:val="000000" w:themeColor="text1"/>
          <w:kern w:val="0"/>
          <w:sz w:val="24"/>
          <w:szCs w:val="24"/>
          <w:shd w:val="clear" w:color="auto" w:fill="FFFFFF"/>
          <w14:textFill>
            <w14:solidFill>
              <w14:schemeClr w14:val="tx1"/>
            </w14:solidFill>
          </w14:textFill>
        </w:rPr>
        <w:t>实验重要仪器设备平台和临床研究成果转化平台。目前已经组建了双线科研团队：神经代谢基础研创团队和干细胞临床转化应用研创团队。开辟了医院15个临床学科共享成果参与的科研协作模式；完成2</w:t>
      </w:r>
      <w:r>
        <w:rPr>
          <w:rFonts w:ascii="宋体" w:hAnsi="宋体" w:cs="微软雅黑"/>
          <w:color w:val="000000" w:themeColor="text1"/>
          <w:kern w:val="0"/>
          <w:sz w:val="24"/>
          <w:szCs w:val="24"/>
          <w:shd w:val="clear" w:color="auto" w:fill="FFFFFF"/>
          <w14:textFill>
            <w14:solidFill>
              <w14:schemeClr w14:val="tx1"/>
            </w14:solidFill>
          </w14:textFill>
        </w:rPr>
        <w:t>0</w:t>
      </w:r>
      <w:r>
        <w:rPr>
          <w:rFonts w:hint="eastAsia" w:ascii="宋体" w:hAnsi="宋体" w:cs="微软雅黑"/>
          <w:color w:val="000000" w:themeColor="text1"/>
          <w:kern w:val="0"/>
          <w:sz w:val="24"/>
          <w:szCs w:val="24"/>
          <w:shd w:val="clear" w:color="auto" w:fill="FFFFFF"/>
          <w14:textFill>
            <w14:solidFill>
              <w14:schemeClr w14:val="tx1"/>
            </w14:solidFill>
          </w14:textFill>
        </w:rPr>
        <w:t>余场研究中心组织的系列学术讨论及科研SCl文章撰写技能讲座；已正式发表SCI文章</w:t>
      </w:r>
      <w:r>
        <w:rPr>
          <w:rFonts w:ascii="宋体" w:hAnsi="宋体" w:cs="微软雅黑"/>
          <w:color w:val="000000" w:themeColor="text1"/>
          <w:kern w:val="0"/>
          <w:sz w:val="24"/>
          <w:szCs w:val="24"/>
          <w:shd w:val="clear" w:color="auto" w:fill="FFFFFF"/>
          <w14:textFill>
            <w14:solidFill>
              <w14:schemeClr w14:val="tx1"/>
            </w14:solidFill>
          </w14:textFill>
        </w:rPr>
        <w:t>50</w:t>
      </w:r>
      <w:r>
        <w:rPr>
          <w:rFonts w:hint="eastAsia" w:ascii="宋体" w:hAnsi="宋体" w:cs="微软雅黑"/>
          <w:color w:val="000000" w:themeColor="text1"/>
          <w:kern w:val="0"/>
          <w:sz w:val="24"/>
          <w:szCs w:val="24"/>
          <w:shd w:val="clear" w:color="auto" w:fill="FFFFFF"/>
          <w14:textFill>
            <w14:solidFill>
              <w14:schemeClr w14:val="tx1"/>
            </w14:solidFill>
          </w14:textFill>
        </w:rPr>
        <w:t>篇；成功获批泉州市高层次人才团队项目资助</w:t>
      </w:r>
      <w:r>
        <w:rPr>
          <w:rFonts w:ascii="宋体" w:hAnsi="宋体" w:cs="微软雅黑"/>
          <w:color w:val="000000" w:themeColor="text1"/>
          <w:kern w:val="0"/>
          <w:sz w:val="24"/>
          <w:szCs w:val="24"/>
          <w:shd w:val="clear" w:color="auto" w:fill="FFFFFF"/>
          <w14:textFill>
            <w14:solidFill>
              <w14:schemeClr w14:val="tx1"/>
            </w14:solidFill>
          </w14:textFill>
        </w:rPr>
        <w:t>4</w:t>
      </w:r>
      <w:r>
        <w:rPr>
          <w:rFonts w:hint="eastAsia" w:ascii="宋体" w:hAnsi="宋体" w:cs="微软雅黑"/>
          <w:color w:val="000000" w:themeColor="text1"/>
          <w:kern w:val="0"/>
          <w:sz w:val="24"/>
          <w:szCs w:val="24"/>
          <w:shd w:val="clear" w:color="auto" w:fill="FFFFFF"/>
          <w14:textFill>
            <w14:solidFill>
              <w14:schemeClr w14:val="tx1"/>
            </w14:solidFill>
          </w14:textFill>
        </w:rPr>
        <w:t>00万元基金；研究团队核心成员获国家自然科学基金2项，省卫健委资助基金5项。</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ind w:firstLine="420"/>
        <w:textAlignment w:val="auto"/>
        <w:rPr>
          <w:rFonts w:cs="微软雅黑"/>
          <w:color w:val="000000" w:themeColor="text1"/>
          <w:sz w:val="24"/>
          <w:szCs w:val="24"/>
          <w:shd w:val="clear" w:color="auto" w:fill="FFFFFF"/>
          <w14:textFill>
            <w14:solidFill>
              <w14:schemeClr w14:val="tx1"/>
            </w14:solidFill>
          </w14:textFill>
        </w:rPr>
      </w:pPr>
      <w:r>
        <w:rPr>
          <w:rFonts w:hint="eastAsia"/>
          <w:sz w:val="24"/>
          <w:szCs w:val="24"/>
        </w:rPr>
        <w:t>本中心</w:t>
      </w:r>
      <w:r>
        <w:rPr>
          <w:rFonts w:hint="eastAsia"/>
          <w:kern w:val="2"/>
          <w:sz w:val="24"/>
          <w:szCs w:val="24"/>
        </w:rPr>
        <w:t>承担的国自然项目，福建省卫健委项目、泉州市高层次人才团队项目等项目研究过程中需要对各种实验条件下动物细胞或者组织的蛋白质进行相对表达分析，也就是俗称的Western-Blot（WB）分析，它首先需要利用小型蛋白质电泳系统对蛋白质进行SDS-PAGE电泳分离，然后再利用小型转印槽将聚丙烯酰胺凝胶上的蛋白质转移到醋酸纤维素（PVDF）薄膜上，最后通过孵育一抗二抗后进行化学发光来检测蛋白质的相对表达。在这整个实验流程里，电泳转印系统是必不可少的，而且使用频率非常高。因此购买成熟的小型垂直半干转电泳系统不但能大大加快实验流程，缩短实验时间，并且可产生大量的具有国际领先的科研成果。</w:t>
      </w:r>
      <w:r>
        <w:rPr>
          <w:rFonts w:hint="eastAsia" w:cs="微软雅黑"/>
          <w:color w:val="000000" w:themeColor="text1"/>
          <w:sz w:val="24"/>
          <w:szCs w:val="24"/>
          <w:shd w:val="clear" w:color="auto" w:fill="FFFFFF"/>
          <w14:textFill>
            <w14:solidFill>
              <w14:schemeClr w14:val="tx1"/>
            </w14:solidFill>
          </w14:textFill>
        </w:rPr>
        <w:t>此外，由于研究中心的发展需要，研究人员进一步增多，进行分子生物学实验的本科生、研究生、技术员、院内外技术交流人员增加速度加快，原有的分子生物学设备不能满足中心人员的实验需求。为适应中心进一步发展，需要增添一些必备的分子生物学设备，包括小型垂直半干转电泳系统。</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ind w:firstLine="420"/>
        <w:textAlignment w:val="auto"/>
        <w:rPr>
          <w:rFonts w:cs="微软雅黑"/>
          <w:color w:val="000000" w:themeColor="text1"/>
          <w:sz w:val="24"/>
          <w:szCs w:val="24"/>
          <w:shd w:val="clear" w:color="auto" w:fill="FFFFFF"/>
          <w14:textFill>
            <w14:solidFill>
              <w14:schemeClr w14:val="tx1"/>
            </w14:solidFill>
          </w14:textFill>
        </w:rPr>
      </w:pPr>
      <w:r>
        <w:rPr>
          <w:rFonts w:hint="eastAsia" w:cs="微软雅黑"/>
          <w:color w:val="000000" w:themeColor="text1"/>
          <w:sz w:val="24"/>
          <w:szCs w:val="24"/>
          <w:shd w:val="clear" w:color="auto" w:fill="FFFFFF"/>
          <w14:textFill>
            <w14:solidFill>
              <w14:schemeClr w14:val="tx1"/>
            </w14:solidFill>
          </w14:textFill>
        </w:rPr>
        <w:t>本次申购的小型垂直半干转电泳系统在本中心的用途如下：</w:t>
      </w:r>
    </w:p>
    <w:p>
      <w:pPr>
        <w:pStyle w:val="2"/>
        <w:keepNext w:val="0"/>
        <w:keepLines w:val="0"/>
        <w:pageBreakBefore w:val="0"/>
        <w:numPr>
          <w:ilvl w:val="0"/>
          <w:numId w:val="1"/>
        </w:numPr>
        <w:shd w:val="clear" w:color="auto" w:fill="FFFFFF"/>
        <w:kinsoku/>
        <w:wordWrap/>
        <w:overflowPunct/>
        <w:topLinePunct w:val="0"/>
        <w:autoSpaceDE/>
        <w:autoSpaceDN/>
        <w:bidi w:val="0"/>
        <w:adjustRightInd/>
        <w:snapToGrid/>
        <w:spacing w:before="0" w:beforeAutospacing="0" w:after="0" w:afterAutospacing="0" w:line="420" w:lineRule="exact"/>
        <w:ind w:firstLine="420"/>
        <w:textAlignment w:val="auto"/>
        <w:rPr>
          <w:rFonts w:cs="微软雅黑"/>
          <w:color w:val="000000" w:themeColor="text1"/>
          <w:sz w:val="24"/>
          <w:szCs w:val="24"/>
          <w:shd w:val="clear" w:color="auto" w:fill="FFFFFF"/>
          <w14:textFill>
            <w14:solidFill>
              <w14:schemeClr w14:val="tx1"/>
            </w14:solidFill>
          </w14:textFill>
        </w:rPr>
      </w:pPr>
      <w:r>
        <w:rPr>
          <w:rFonts w:hint="eastAsia" w:cs="微软雅黑"/>
          <w:color w:val="000000" w:themeColor="text1"/>
          <w:sz w:val="24"/>
          <w:szCs w:val="24"/>
          <w:shd w:val="clear" w:color="auto" w:fill="FFFFFF"/>
          <w14:textFill>
            <w14:solidFill>
              <w14:schemeClr w14:val="tx1"/>
            </w14:solidFill>
          </w14:textFill>
        </w:rPr>
        <w:t>进行蛋白质的垂直电泳，分离分析样品中的蛋白质组成。</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ind w:firstLine="420"/>
        <w:textAlignment w:val="auto"/>
        <w:rPr>
          <w:rFonts w:hint="eastAsia" w:eastAsia="宋体" w:cs="微软雅黑"/>
          <w:color w:val="000000" w:themeColor="text1"/>
          <w:sz w:val="24"/>
          <w:szCs w:val="24"/>
          <w:shd w:val="clear" w:color="auto" w:fill="FFFFFF"/>
          <w:lang w:eastAsia="zh-CN"/>
          <w14:textFill>
            <w14:solidFill>
              <w14:schemeClr w14:val="tx1"/>
            </w14:solidFill>
          </w14:textFill>
        </w:rPr>
      </w:pPr>
      <w:r>
        <w:rPr>
          <w:rFonts w:hint="eastAsia" w:cs="微软雅黑"/>
          <w:color w:val="000000" w:themeColor="text1"/>
          <w:sz w:val="24"/>
          <w:szCs w:val="24"/>
          <w:shd w:val="clear" w:color="auto" w:fill="FFFFFF"/>
          <w:lang w:val="en-US" w:eastAsia="zh-CN"/>
          <w14:textFill>
            <w14:solidFill>
              <w14:schemeClr w14:val="tx1"/>
            </w14:solidFill>
          </w14:textFill>
        </w:rPr>
        <w:t>2.</w:t>
      </w:r>
      <w:r>
        <w:rPr>
          <w:rFonts w:hint="eastAsia" w:cs="微软雅黑"/>
          <w:color w:val="000000" w:themeColor="text1"/>
          <w:sz w:val="24"/>
          <w:szCs w:val="24"/>
          <w:shd w:val="clear" w:color="auto" w:fill="FFFFFF"/>
          <w14:textFill>
            <w14:solidFill>
              <w14:schemeClr w14:val="tx1"/>
            </w14:solidFill>
          </w14:textFill>
        </w:rPr>
        <w:t>蛋白质样品质控，蛋白质样品是否有降解</w:t>
      </w:r>
      <w:r>
        <w:rPr>
          <w:rFonts w:hint="eastAsia" w:cs="微软雅黑"/>
          <w:color w:val="000000" w:themeColor="text1"/>
          <w:sz w:val="24"/>
          <w:szCs w:val="24"/>
          <w:shd w:val="clear" w:color="auto" w:fill="FFFFFF"/>
          <w:lang w:eastAsia="zh-CN"/>
          <w14:textFill>
            <w14:solidFill>
              <w14:schemeClr w14:val="tx1"/>
            </w14:solidFill>
          </w14:textFill>
        </w:rPr>
        <w:t>，</w:t>
      </w:r>
      <w:r>
        <w:rPr>
          <w:rFonts w:hint="eastAsia" w:cs="微软雅黑"/>
          <w:color w:val="000000" w:themeColor="text1"/>
          <w:sz w:val="24"/>
          <w:szCs w:val="24"/>
          <w:shd w:val="clear" w:color="auto" w:fill="FFFFFF"/>
          <w14:textFill>
            <w14:solidFill>
              <w14:schemeClr w14:val="tx1"/>
            </w14:solidFill>
          </w14:textFill>
        </w:rPr>
        <w:t>作为WB实验的前置步骤，进行蛋白质的分离和转印</w:t>
      </w:r>
      <w:r>
        <w:rPr>
          <w:rFonts w:hint="eastAsia" w:cs="微软雅黑"/>
          <w:color w:val="000000" w:themeColor="text1"/>
          <w:sz w:val="24"/>
          <w:szCs w:val="24"/>
          <w:shd w:val="clear" w:color="auto" w:fill="FFFFFF"/>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ascii="FangSong_GB2312" w:hAnsi="宋体" w:eastAsia="FangSong_GB2312" w:cs="宋体"/>
          <w:sz w:val="24"/>
          <w:szCs w:val="24"/>
        </w:rPr>
      </w:pPr>
      <w:r>
        <w:rPr>
          <w:rFonts w:hint="eastAsia" w:ascii="新宋体" w:hAnsi="新宋体" w:eastAsia="新宋体" w:cs="新宋体"/>
          <w:color w:val="auto"/>
          <w:sz w:val="24"/>
          <w:szCs w:val="24"/>
        </w:rPr>
        <w:t>本项目将由医院自筹资金购买，预算已获省里批准。</w:t>
      </w:r>
      <w:r>
        <w:rPr>
          <w:rFonts w:hint="eastAsia" w:ascii="新宋体" w:hAnsi="新宋体" w:eastAsia="新宋体" w:cs="新宋体"/>
          <w:color w:val="auto"/>
          <w:sz w:val="24"/>
          <w:szCs w:val="24"/>
          <w:lang w:val="en-US" w:eastAsia="zh-CN"/>
        </w:rPr>
        <w:t>招标预算为5万元。</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二、采购需求调查</w:t>
      </w:r>
    </w:p>
    <w:p>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1、</w:t>
      </w:r>
      <w:r>
        <w:rPr>
          <w:rFonts w:hint="eastAsia" w:ascii="宋体" w:hAnsi="宋体" w:cs="微软雅黑"/>
          <w:color w:val="000000" w:themeColor="text1"/>
          <w:kern w:val="0"/>
          <w:sz w:val="24"/>
          <w:szCs w:val="24"/>
          <w:shd w:val="clear" w:color="auto" w:fill="FFFFFF"/>
          <w14:textFill>
            <w14:solidFill>
              <w14:schemeClr w14:val="tx1"/>
            </w14:solidFill>
          </w14:textFill>
        </w:rPr>
        <w:t>根据福建医科大学附属第二医院神经调控代谢性疾病中心发展推进需要，围绕神经调控代谢性疾病发病机理、治疗机制，特别是细胞免疫治疗和药物治疗过程、自身免疫微环境的调节机制等研究方向布局，满足实验亟需的相关条件装备，提出申请购买小型垂直半干转电泳系统。该设备主要用于WB实验前蛋白质电泳和转印，为后续蛋白质化学发光检测打下基础。根据神经调控代谢性疾病中心具体的实验需求，现提出几条需求标准及依据：</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3300"/>
        <w:gridCol w:w="4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r>
              <w:rPr>
                <w:rFonts w:hint="eastAsia"/>
              </w:rPr>
              <w:t>序号</w:t>
            </w:r>
          </w:p>
        </w:tc>
        <w:tc>
          <w:tcPr>
            <w:tcW w:w="3300" w:type="dxa"/>
          </w:tcPr>
          <w:p>
            <w:r>
              <w:rPr>
                <w:rFonts w:hint="eastAsia"/>
              </w:rPr>
              <w:t>需求标准</w:t>
            </w:r>
          </w:p>
        </w:tc>
        <w:tc>
          <w:tcPr>
            <w:tcW w:w="4478" w:type="dxa"/>
          </w:tcPr>
          <w:p>
            <w:r>
              <w:rPr>
                <w:rFonts w:hint="eastAsia"/>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r>
              <w:rPr>
                <w:rFonts w:hint="eastAsia"/>
              </w:rPr>
              <w:t>1</w:t>
            </w:r>
          </w:p>
        </w:tc>
        <w:tc>
          <w:tcPr>
            <w:tcW w:w="3300"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1–4</w:t>
            </w:r>
            <w:r>
              <w:rPr>
                <w:rFonts w:hint="eastAsia" w:ascii="Arial" w:hAnsi="Arial" w:cs="Arial"/>
                <w:bCs/>
                <w:szCs w:val="28"/>
              </w:rPr>
              <w:t>块小型</w:t>
            </w:r>
            <w:r>
              <w:rPr>
                <w:rFonts w:ascii="Arial" w:hAnsi="Arial" w:cs="Arial"/>
                <w:bCs/>
                <w:szCs w:val="28"/>
              </w:rPr>
              <w:t>凝胶</w:t>
            </w:r>
            <w:r>
              <w:rPr>
                <w:rFonts w:hint="eastAsia" w:ascii="Arial" w:hAnsi="Arial" w:cs="Arial"/>
                <w:bCs/>
                <w:szCs w:val="28"/>
              </w:rPr>
              <w:t>电泳</w:t>
            </w:r>
          </w:p>
          <w:p/>
        </w:tc>
        <w:tc>
          <w:tcPr>
            <w:tcW w:w="4478" w:type="dxa"/>
          </w:tcPr>
          <w:p>
            <w:r>
              <w:rPr>
                <w:rFonts w:hint="eastAsia"/>
              </w:rPr>
              <w:t>进行蛋白质WB检测时，蛋白质电泳的样本数不是很固定，不同实验者的样本数量有很大的不同。因此为了满足实验室大部分研究者的需求，必须具备能同时进行1-4块小型凝胶电泳，一次支持的样本数量从2个到40个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r>
              <w:rPr>
                <w:rFonts w:hint="eastAsia"/>
              </w:rPr>
              <w:t>2</w:t>
            </w:r>
          </w:p>
        </w:tc>
        <w:tc>
          <w:tcPr>
            <w:tcW w:w="3300" w:type="dxa"/>
          </w:tcPr>
          <w:p>
            <w:r>
              <w:rPr>
                <w:rFonts w:ascii="Arial" w:hAnsi="Arial" w:cs="Arial"/>
                <w:kern w:val="0"/>
                <w:szCs w:val="21"/>
              </w:rPr>
              <w:t>能同时转印</w:t>
            </w:r>
            <w:r>
              <w:rPr>
                <w:rFonts w:hint="eastAsia" w:ascii="Arial" w:hAnsi="Arial" w:cs="Arial"/>
                <w:kern w:val="0"/>
                <w:szCs w:val="21"/>
              </w:rPr>
              <w:t>1-</w:t>
            </w:r>
            <w:r>
              <w:rPr>
                <w:rFonts w:ascii="Arial" w:hAnsi="Arial" w:cs="Arial"/>
                <w:kern w:val="0"/>
                <w:szCs w:val="21"/>
              </w:rPr>
              <w:t>4块小型凝胶（8.3×7.3cm左右）</w:t>
            </w:r>
          </w:p>
        </w:tc>
        <w:tc>
          <w:tcPr>
            <w:tcW w:w="4478" w:type="dxa"/>
          </w:tcPr>
          <w:p>
            <w:r>
              <w:rPr>
                <w:rFonts w:hint="eastAsia"/>
              </w:rPr>
              <w:t>进行蛋白质WB检测时，蛋白质电泳是第一步，蛋白质转印（从凝胶转移到固相膜上）是第二部，因此转印这个步骤必须匹配蛋白质电泳的样品数。</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r>
              <w:rPr>
                <w:rFonts w:hint="eastAsia"/>
              </w:rPr>
              <w:t>3</w:t>
            </w:r>
          </w:p>
        </w:tc>
        <w:tc>
          <w:tcPr>
            <w:tcW w:w="3300" w:type="dxa"/>
          </w:tcPr>
          <w:p>
            <w:r>
              <w:rPr>
                <w:rFonts w:hint="eastAsia"/>
              </w:rPr>
              <w:t>输出: 4对电源输出,可同时运行4个电泳槽</w:t>
            </w:r>
          </w:p>
          <w:p/>
          <w:p/>
        </w:tc>
        <w:tc>
          <w:tcPr>
            <w:tcW w:w="4478" w:type="dxa"/>
          </w:tcPr>
          <w:p>
            <w:r>
              <w:rPr>
                <w:rFonts w:hint="eastAsia"/>
              </w:rPr>
              <w:t>4对电源输出，可同时运行1-4个电泳槽，为未来升级到通量16块凝胶（160样本）打下基础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r>
              <w:rPr>
                <w:rFonts w:hint="eastAsia"/>
              </w:rPr>
              <w:t>4</w:t>
            </w:r>
          </w:p>
        </w:tc>
        <w:tc>
          <w:tcPr>
            <w:tcW w:w="3300" w:type="dxa"/>
          </w:tcPr>
          <w:p>
            <w:r>
              <w:rPr>
                <w:rFonts w:hint="eastAsia"/>
              </w:rPr>
              <w:t>输出方式:恒压,恒流方式或恒功率,可编程</w:t>
            </w:r>
          </w:p>
          <w:p/>
        </w:tc>
        <w:tc>
          <w:tcPr>
            <w:tcW w:w="4478" w:type="dxa"/>
          </w:tcPr>
          <w:p>
            <w:r>
              <w:rPr>
                <w:rFonts w:hint="eastAsia"/>
              </w:rPr>
              <w:t>可编程意味着实验人员不需要时刻盯着电泳的指示剂，害怕电泳或转印过头，蛋白质从凝胶或膜上脱离。</w:t>
            </w:r>
          </w:p>
        </w:tc>
      </w:tr>
    </w:tbl>
    <w:p>
      <w:pPr>
        <w:spacing w:line="400" w:lineRule="exact"/>
        <w:ind w:firstLine="560" w:firstLineChars="200"/>
        <w:rPr>
          <w:rFonts w:ascii="宋体" w:hAnsi="宋体" w:cs="宋体"/>
          <w:sz w:val="28"/>
          <w:szCs w:val="28"/>
        </w:rPr>
      </w:pPr>
    </w:p>
    <w:p>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2、</w:t>
      </w:r>
      <w:r>
        <w:rPr>
          <w:rFonts w:hint="eastAsia" w:ascii="宋体" w:hAnsi="宋体" w:cs="微软雅黑"/>
          <w:color w:val="000000" w:themeColor="text1"/>
          <w:kern w:val="0"/>
          <w:sz w:val="24"/>
          <w:szCs w:val="24"/>
          <w:shd w:val="clear" w:color="auto" w:fill="FFFFFF"/>
          <w14:textFill>
            <w14:solidFill>
              <w14:schemeClr w14:val="tx1"/>
            </w14:solidFill>
          </w14:textFill>
        </w:rPr>
        <w:t>采购项目国内产业发展、市场供给、历史成交情况、升级更新、备品备件、耗材等情况。</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国内产业发展</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带电颗粒在电场作用下，向着与其电性相反的电极移动，称为电泳(electrophoresis, EP)。成熟商品化的电泳仪在上个世纪50年代出现在国外。80年代被众多国外厂商引入中国，其中市场占有率比较高的是美国Bio-Rad、GE（现Cytiva）、ThermoFiser等。进入20世纪以来，众多国产厂商纷纷进入电泳市场。其中比较出名的是北京六一、上海天能这两家企业。目前来看，国产小型垂直半干转电泳系统技术相对于进口产品来说，很多功能都可以满足。但是产品的稳定性和耐用性和安全性还无法和进口产品相比。</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历史成交情况:</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福建医科大学附属第一医院Bio-Rad小型垂直半干转电泳系统 ，2020年中标价9.8万</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福建医科大学附属第一医院Bio-Rad小型垂直半干转电泳系统 ，2021年中标价9.5万</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福建医科大学中标  GE  小型垂直半干转电泳系统，中标价9.5万</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广西壮族自治区食品药品检验所，中标天能 小型垂直半干转电泳系统， 中标价4万</w:t>
      </w:r>
      <w:r>
        <w:rPr>
          <w:rFonts w:hint="eastAsia" w:ascii="宋体" w:hAnsi="宋体" w:cs="微软雅黑"/>
          <w:color w:val="000000" w:themeColor="text1"/>
          <w:kern w:val="0"/>
          <w:sz w:val="24"/>
          <w:szCs w:val="24"/>
          <w:shd w:val="clear" w:color="auto" w:fill="FFFFFF"/>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市场供给</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目前，国内具备小型垂直半干转电泳系统实验产品的企业有上海天能、北京六一等极少数企业，大部分为进口产品，市场供给方面，目前中国的小型垂直半干转电泳系统实验产品消费市场中，本土的产品仅占15-20%左右。其余份额由国外的Bio-Rad、GE（现Cytiva）、ThermoFiser等企业占据。</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升级更新、备品备件、耗材等情况</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Bio-Rad、GE（现Cytiva）、ThermoFiser等企业都提供备品备件服务，仓库基本设置在上海广州等一线城市，响应服务及时。小型垂直半干转电泳系统作为实验类设备除试剂外没有特殊耗材消耗。</w:t>
      </w:r>
    </w:p>
    <w:p>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3、</w:t>
      </w:r>
      <w:r>
        <w:rPr>
          <w:rFonts w:hint="eastAsia" w:ascii="宋体" w:hAnsi="宋体" w:cs="微软雅黑"/>
          <w:color w:val="000000" w:themeColor="text1"/>
          <w:kern w:val="0"/>
          <w:sz w:val="24"/>
          <w:szCs w:val="24"/>
          <w:shd w:val="clear" w:color="auto" w:fill="FFFFFF"/>
          <w14:textFill>
            <w14:solidFill>
              <w14:schemeClr w14:val="tx1"/>
            </w14:solidFill>
          </w14:textFill>
        </w:rPr>
        <w:t>国产、进口产品价格对比情况，进口产品各供应商竞争情况，近期在政采领域的中标或成交情况及价格情况。</w:t>
      </w:r>
    </w:p>
    <w:p>
      <w:pPr>
        <w:rPr>
          <w:b/>
          <w:bCs/>
          <w:sz w:val="24"/>
          <w:szCs w:val="24"/>
        </w:rPr>
      </w:pPr>
      <w:r>
        <w:rPr>
          <w:rFonts w:hint="eastAsia"/>
          <w:b/>
          <w:bCs/>
          <w:sz w:val="24"/>
          <w:szCs w:val="24"/>
        </w:rPr>
        <w:t>国产、进口产品价格对比:</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290"/>
        <w:gridCol w:w="1942"/>
        <w:gridCol w:w="2205"/>
        <w:gridCol w:w="2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rPr>
                <w:rFonts w:eastAsiaTheme="minorEastAsia"/>
                <w:szCs w:val="21"/>
              </w:rPr>
            </w:pPr>
            <w:r>
              <w:rPr>
                <w:rFonts w:hint="eastAsia"/>
                <w:szCs w:val="21"/>
              </w:rPr>
              <w:t>序号</w:t>
            </w:r>
          </w:p>
        </w:tc>
        <w:tc>
          <w:tcPr>
            <w:tcW w:w="1268" w:type="dxa"/>
          </w:tcPr>
          <w:p>
            <w:pPr>
              <w:jc w:val="center"/>
              <w:rPr>
                <w:rFonts w:eastAsiaTheme="minorEastAsia"/>
                <w:szCs w:val="21"/>
              </w:rPr>
            </w:pPr>
            <w:r>
              <w:rPr>
                <w:rFonts w:hint="eastAsia"/>
                <w:szCs w:val="21"/>
              </w:rPr>
              <w:t>品牌</w:t>
            </w:r>
          </w:p>
        </w:tc>
        <w:tc>
          <w:tcPr>
            <w:tcW w:w="1942" w:type="dxa"/>
          </w:tcPr>
          <w:p>
            <w:pPr>
              <w:jc w:val="center"/>
              <w:rPr>
                <w:rFonts w:eastAsiaTheme="minorEastAsia"/>
                <w:szCs w:val="21"/>
              </w:rPr>
            </w:pPr>
            <w:r>
              <w:rPr>
                <w:rFonts w:hint="eastAsia"/>
                <w:szCs w:val="21"/>
              </w:rPr>
              <w:t>产地</w:t>
            </w:r>
          </w:p>
        </w:tc>
        <w:tc>
          <w:tcPr>
            <w:tcW w:w="2205" w:type="dxa"/>
          </w:tcPr>
          <w:p>
            <w:pPr>
              <w:jc w:val="center"/>
              <w:rPr>
                <w:rFonts w:eastAsiaTheme="minorEastAsia"/>
                <w:szCs w:val="21"/>
              </w:rPr>
            </w:pPr>
            <w:r>
              <w:rPr>
                <w:rFonts w:hint="eastAsia"/>
                <w:szCs w:val="21"/>
              </w:rPr>
              <w:t>型号</w:t>
            </w:r>
          </w:p>
        </w:tc>
        <w:tc>
          <w:tcPr>
            <w:tcW w:w="2442" w:type="dxa"/>
          </w:tcPr>
          <w:p>
            <w:pPr>
              <w:jc w:val="center"/>
              <w:rPr>
                <w:rFonts w:eastAsiaTheme="minorEastAsia"/>
                <w:szCs w:val="21"/>
              </w:rPr>
            </w:pPr>
            <w:r>
              <w:rPr>
                <w:rFonts w:hint="eastAsia"/>
                <w:szCs w:val="21"/>
              </w:rPr>
              <w:t>市场中标价格（万元）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jc w:val="center"/>
              <w:rPr>
                <w:rFonts w:eastAsiaTheme="minorEastAsia"/>
                <w:szCs w:val="21"/>
              </w:rPr>
            </w:pPr>
            <w:r>
              <w:rPr>
                <w:rFonts w:hint="eastAsia"/>
                <w:szCs w:val="21"/>
              </w:rPr>
              <w:t>1</w:t>
            </w:r>
          </w:p>
        </w:tc>
        <w:tc>
          <w:tcPr>
            <w:tcW w:w="1268" w:type="dxa"/>
          </w:tcPr>
          <w:p>
            <w:pPr>
              <w:jc w:val="center"/>
              <w:rPr>
                <w:szCs w:val="21"/>
              </w:rPr>
            </w:pPr>
            <w:r>
              <w:rPr>
                <w:rFonts w:hint="eastAsia"/>
              </w:rPr>
              <w:t>Bio-Rad</w:t>
            </w:r>
          </w:p>
        </w:tc>
        <w:tc>
          <w:tcPr>
            <w:tcW w:w="1942" w:type="dxa"/>
          </w:tcPr>
          <w:p>
            <w:pPr>
              <w:jc w:val="center"/>
              <w:rPr>
                <w:rFonts w:eastAsiaTheme="minorEastAsia"/>
                <w:szCs w:val="21"/>
              </w:rPr>
            </w:pPr>
            <w:r>
              <w:rPr>
                <w:rFonts w:hint="eastAsia"/>
                <w:szCs w:val="21"/>
              </w:rPr>
              <w:t>美国</w:t>
            </w:r>
          </w:p>
        </w:tc>
        <w:tc>
          <w:tcPr>
            <w:tcW w:w="2205" w:type="dxa"/>
          </w:tcPr>
          <w:p>
            <w:pPr>
              <w:jc w:val="center"/>
              <w:rPr>
                <w:rFonts w:eastAsiaTheme="minorEastAsia"/>
                <w:szCs w:val="21"/>
              </w:rPr>
            </w:pPr>
            <w:r>
              <w:rPr>
                <w:rFonts w:hint="eastAsia"/>
                <w:szCs w:val="21"/>
              </w:rPr>
              <w:t>MP4</w:t>
            </w:r>
          </w:p>
        </w:tc>
        <w:tc>
          <w:tcPr>
            <w:tcW w:w="2442" w:type="dxa"/>
          </w:tcPr>
          <w:p>
            <w:pPr>
              <w:jc w:val="center"/>
              <w:rPr>
                <w:rFonts w:eastAsiaTheme="minorEastAsia"/>
                <w:color w:val="auto"/>
                <w:szCs w:val="21"/>
              </w:rPr>
            </w:pPr>
            <w:r>
              <w:rPr>
                <w:rFonts w:hint="eastAsia"/>
                <w:color w:val="auto"/>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jc w:val="center"/>
              <w:rPr>
                <w:szCs w:val="21"/>
              </w:rPr>
            </w:pPr>
            <w:r>
              <w:rPr>
                <w:rFonts w:hint="eastAsia"/>
                <w:szCs w:val="21"/>
              </w:rPr>
              <w:t>2</w:t>
            </w:r>
          </w:p>
        </w:tc>
        <w:tc>
          <w:tcPr>
            <w:tcW w:w="1268" w:type="dxa"/>
          </w:tcPr>
          <w:p>
            <w:pPr>
              <w:jc w:val="center"/>
            </w:pPr>
            <w:r>
              <w:rPr>
                <w:rFonts w:hint="eastAsia"/>
              </w:rPr>
              <w:t>GE（Cytiva）</w:t>
            </w:r>
          </w:p>
        </w:tc>
        <w:tc>
          <w:tcPr>
            <w:tcW w:w="1942" w:type="dxa"/>
          </w:tcPr>
          <w:p>
            <w:pPr>
              <w:jc w:val="center"/>
              <w:rPr>
                <w:szCs w:val="21"/>
              </w:rPr>
            </w:pPr>
            <w:r>
              <w:rPr>
                <w:rFonts w:hint="eastAsia"/>
                <w:szCs w:val="21"/>
              </w:rPr>
              <w:t>美国</w:t>
            </w:r>
          </w:p>
        </w:tc>
        <w:tc>
          <w:tcPr>
            <w:tcW w:w="2205" w:type="dxa"/>
          </w:tcPr>
          <w:p>
            <w:pPr>
              <w:jc w:val="center"/>
              <w:rPr>
                <w:szCs w:val="21"/>
              </w:rPr>
            </w:pPr>
            <w:r>
              <w:rPr>
                <w:rFonts w:hint="eastAsia"/>
                <w:szCs w:val="21"/>
              </w:rPr>
              <w:t>GE Hoefer Mini VE</w:t>
            </w:r>
          </w:p>
        </w:tc>
        <w:tc>
          <w:tcPr>
            <w:tcW w:w="2442" w:type="dxa"/>
          </w:tcPr>
          <w:p>
            <w:pPr>
              <w:jc w:val="center"/>
              <w:rPr>
                <w:color w:val="auto"/>
                <w:szCs w:val="21"/>
              </w:rPr>
            </w:pPr>
            <w:r>
              <w:rPr>
                <w:rFonts w:hint="eastAsia"/>
                <w:color w:val="auto"/>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jc w:val="center"/>
              <w:rPr>
                <w:rFonts w:eastAsiaTheme="minorEastAsia"/>
                <w:szCs w:val="21"/>
              </w:rPr>
            </w:pPr>
            <w:r>
              <w:rPr>
                <w:rFonts w:hint="eastAsia"/>
                <w:szCs w:val="21"/>
              </w:rPr>
              <w:t>3</w:t>
            </w:r>
          </w:p>
        </w:tc>
        <w:tc>
          <w:tcPr>
            <w:tcW w:w="1268" w:type="dxa"/>
          </w:tcPr>
          <w:p>
            <w:pPr>
              <w:jc w:val="center"/>
              <w:rPr>
                <w:rFonts w:eastAsiaTheme="minorEastAsia"/>
                <w:szCs w:val="21"/>
              </w:rPr>
            </w:pPr>
            <w:r>
              <w:rPr>
                <w:rFonts w:hint="eastAsia" w:eastAsiaTheme="minorEastAsia"/>
                <w:szCs w:val="21"/>
              </w:rPr>
              <w:t>ThermoFiser</w:t>
            </w:r>
          </w:p>
        </w:tc>
        <w:tc>
          <w:tcPr>
            <w:tcW w:w="1942" w:type="dxa"/>
          </w:tcPr>
          <w:p>
            <w:pPr>
              <w:jc w:val="center"/>
              <w:rPr>
                <w:rFonts w:eastAsiaTheme="minorEastAsia"/>
                <w:szCs w:val="21"/>
              </w:rPr>
            </w:pPr>
            <w:r>
              <w:rPr>
                <w:rFonts w:hint="eastAsia"/>
                <w:szCs w:val="21"/>
              </w:rPr>
              <w:t>美国</w:t>
            </w:r>
          </w:p>
        </w:tc>
        <w:tc>
          <w:tcPr>
            <w:tcW w:w="2205" w:type="dxa"/>
          </w:tcPr>
          <w:p>
            <w:pPr>
              <w:jc w:val="center"/>
              <w:rPr>
                <w:rFonts w:eastAsiaTheme="minorEastAsia"/>
                <w:szCs w:val="21"/>
              </w:rPr>
            </w:pPr>
            <w:r>
              <w:rPr>
                <w:rFonts w:eastAsiaTheme="minorEastAsia"/>
                <w:szCs w:val="21"/>
              </w:rPr>
              <w:t xml:space="preserve"> </w:t>
            </w:r>
            <w:r>
              <w:fldChar w:fldCharType="begin"/>
            </w:r>
            <w:r>
              <w:instrText xml:space="preserve"> HYPERLINK "https://www.thermofisher.cn/cn/zh/home/life-science/protein-biology/protein-gel-electrophoresis/protein-gel-electrophoresis-chamber-systems/mini-gel-tank.html" </w:instrText>
            </w:r>
            <w:r>
              <w:fldChar w:fldCharType="separate"/>
            </w:r>
            <w:r>
              <w:rPr>
                <w:rFonts w:eastAsiaTheme="minorEastAsia"/>
                <w:szCs w:val="21"/>
              </w:rPr>
              <w:t xml:space="preserve">Mini Gel Tank </w:t>
            </w:r>
            <w:r>
              <w:rPr>
                <w:rFonts w:eastAsiaTheme="minorEastAsia"/>
                <w:szCs w:val="21"/>
              </w:rPr>
              <w:fldChar w:fldCharType="end"/>
            </w:r>
          </w:p>
        </w:tc>
        <w:tc>
          <w:tcPr>
            <w:tcW w:w="2442" w:type="dxa"/>
          </w:tcPr>
          <w:p>
            <w:pPr>
              <w:jc w:val="center"/>
              <w:rPr>
                <w:rFonts w:eastAsiaTheme="minorEastAsia"/>
                <w:color w:val="auto"/>
                <w:szCs w:val="21"/>
              </w:rPr>
            </w:pPr>
            <w:r>
              <w:rPr>
                <w:rFonts w:hint="eastAsia" w:eastAsiaTheme="minorEastAsia"/>
                <w:color w:val="auto"/>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jc w:val="center"/>
              <w:rPr>
                <w:rFonts w:eastAsiaTheme="minorEastAsia"/>
                <w:szCs w:val="21"/>
              </w:rPr>
            </w:pPr>
            <w:r>
              <w:rPr>
                <w:rFonts w:hint="eastAsia"/>
                <w:szCs w:val="21"/>
              </w:rPr>
              <w:t>4</w:t>
            </w:r>
          </w:p>
        </w:tc>
        <w:tc>
          <w:tcPr>
            <w:tcW w:w="1268" w:type="dxa"/>
          </w:tcPr>
          <w:p>
            <w:pPr>
              <w:jc w:val="center"/>
              <w:rPr>
                <w:rFonts w:eastAsiaTheme="minorEastAsia"/>
                <w:szCs w:val="21"/>
              </w:rPr>
            </w:pPr>
            <w:r>
              <w:rPr>
                <w:rFonts w:hint="eastAsia"/>
                <w:szCs w:val="21"/>
              </w:rPr>
              <w:t>上海天能</w:t>
            </w:r>
          </w:p>
        </w:tc>
        <w:tc>
          <w:tcPr>
            <w:tcW w:w="1942" w:type="dxa"/>
          </w:tcPr>
          <w:p>
            <w:pPr>
              <w:jc w:val="center"/>
              <w:rPr>
                <w:rFonts w:eastAsiaTheme="minorEastAsia"/>
                <w:szCs w:val="21"/>
              </w:rPr>
            </w:pPr>
            <w:r>
              <w:rPr>
                <w:rFonts w:hint="eastAsia"/>
                <w:szCs w:val="21"/>
              </w:rPr>
              <w:t>中国</w:t>
            </w:r>
          </w:p>
        </w:tc>
        <w:tc>
          <w:tcPr>
            <w:tcW w:w="2205" w:type="dxa"/>
          </w:tcPr>
          <w:p>
            <w:pPr>
              <w:jc w:val="center"/>
              <w:rPr>
                <w:rFonts w:eastAsiaTheme="minorEastAsia"/>
                <w:szCs w:val="21"/>
              </w:rPr>
            </w:pPr>
            <w:r>
              <w:rPr>
                <w:rFonts w:eastAsiaTheme="minorEastAsia"/>
                <w:szCs w:val="21"/>
              </w:rPr>
              <w:t>EPS600</w:t>
            </w:r>
          </w:p>
        </w:tc>
        <w:tc>
          <w:tcPr>
            <w:tcW w:w="2442" w:type="dxa"/>
          </w:tcPr>
          <w:p>
            <w:pPr>
              <w:jc w:val="center"/>
              <w:rPr>
                <w:rFonts w:eastAsiaTheme="minorEastAsia"/>
                <w:color w:val="auto"/>
                <w:szCs w:val="21"/>
              </w:rPr>
            </w:pPr>
            <w:r>
              <w:rPr>
                <w:rFonts w:hint="eastAsia" w:eastAsiaTheme="minorEastAsia"/>
                <w:color w:val="auto"/>
                <w:szCs w:val="21"/>
              </w:rPr>
              <w:t>4.0</w:t>
            </w:r>
          </w:p>
        </w:tc>
      </w:tr>
    </w:tbl>
    <w:p>
      <w:pPr>
        <w:spacing w:line="380" w:lineRule="exact"/>
        <w:ind w:left="420" w:leftChars="200"/>
        <w:rPr>
          <w:rFonts w:ascii="FangSong_GB2312" w:hAnsi="宋体" w:eastAsia="FangSong_GB2312" w:cs="宋体"/>
          <w:sz w:val="32"/>
          <w:szCs w:val="32"/>
        </w:rPr>
      </w:pPr>
    </w:p>
    <w:p>
      <w:pPr>
        <w:ind w:firstLine="482" w:firstLineChars="200"/>
        <w:jc w:val="left"/>
        <w:rPr>
          <w:b/>
          <w:bCs/>
          <w:sz w:val="24"/>
          <w:szCs w:val="24"/>
        </w:rPr>
      </w:pPr>
      <w:r>
        <w:rPr>
          <w:rFonts w:hint="eastAsia"/>
          <w:b/>
          <w:bCs/>
          <w:sz w:val="24"/>
          <w:szCs w:val="24"/>
        </w:rPr>
        <w:t>进口产品各供应商竞争情况:</w:t>
      </w:r>
    </w:p>
    <w:p>
      <w:pPr>
        <w:ind w:firstLine="482" w:firstLineChars="200"/>
        <w:jc w:val="left"/>
        <w:rPr>
          <w:b/>
          <w:bCs/>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2333"/>
        <w:gridCol w:w="2550"/>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jc w:val="left"/>
              <w:rPr>
                <w:szCs w:val="21"/>
              </w:rPr>
            </w:pPr>
            <w:r>
              <w:rPr>
                <w:rFonts w:hint="eastAsia"/>
                <w:szCs w:val="21"/>
              </w:rPr>
              <w:t>1</w:t>
            </w:r>
          </w:p>
        </w:tc>
        <w:tc>
          <w:tcPr>
            <w:tcW w:w="2333" w:type="dxa"/>
          </w:tcPr>
          <w:p>
            <w:pPr>
              <w:jc w:val="center"/>
              <w:rPr>
                <w:rFonts w:asciiTheme="minorHAnsi" w:hAnsiTheme="minorHAnsi" w:eastAsiaTheme="minorEastAsia" w:cstheme="minorBidi"/>
                <w:szCs w:val="21"/>
              </w:rPr>
            </w:pPr>
            <w:r>
              <w:rPr>
                <w:rFonts w:hint="eastAsia"/>
              </w:rPr>
              <w:t>Bio-Rad</w:t>
            </w:r>
          </w:p>
        </w:tc>
        <w:tc>
          <w:tcPr>
            <w:tcW w:w="2550" w:type="dxa"/>
          </w:tcPr>
          <w:p>
            <w:pPr>
              <w:jc w:val="center"/>
              <w:rPr>
                <w:szCs w:val="21"/>
              </w:rPr>
            </w:pPr>
            <w:r>
              <w:rPr>
                <w:rFonts w:hint="eastAsia"/>
                <w:szCs w:val="21"/>
              </w:rPr>
              <w:t>美国</w:t>
            </w:r>
          </w:p>
        </w:tc>
        <w:tc>
          <w:tcPr>
            <w:tcW w:w="2689" w:type="dxa"/>
          </w:tcPr>
          <w:p>
            <w:pPr>
              <w:jc w:val="center"/>
              <w:rPr>
                <w:szCs w:val="21"/>
              </w:rPr>
            </w:pPr>
            <w:r>
              <w:rPr>
                <w:rFonts w:hint="eastAsia"/>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jc w:val="left"/>
              <w:rPr>
                <w:szCs w:val="21"/>
              </w:rPr>
            </w:pPr>
            <w:r>
              <w:rPr>
                <w:rFonts w:hint="eastAsia"/>
                <w:szCs w:val="21"/>
              </w:rPr>
              <w:t>2</w:t>
            </w:r>
          </w:p>
        </w:tc>
        <w:tc>
          <w:tcPr>
            <w:tcW w:w="2333" w:type="dxa"/>
          </w:tcPr>
          <w:p>
            <w:pPr>
              <w:jc w:val="center"/>
              <w:rPr>
                <w:rFonts w:asciiTheme="minorHAnsi" w:hAnsiTheme="minorHAnsi" w:eastAsiaTheme="minorEastAsia" w:cstheme="minorBidi"/>
                <w:szCs w:val="21"/>
              </w:rPr>
            </w:pPr>
            <w:r>
              <w:rPr>
                <w:rFonts w:hint="eastAsia"/>
                <w:szCs w:val="21"/>
              </w:rPr>
              <w:t>GE</w:t>
            </w:r>
            <w:r>
              <w:rPr>
                <w:rFonts w:hint="eastAsia"/>
              </w:rPr>
              <w:t>（Cytiva）</w:t>
            </w:r>
          </w:p>
        </w:tc>
        <w:tc>
          <w:tcPr>
            <w:tcW w:w="2550" w:type="dxa"/>
          </w:tcPr>
          <w:p>
            <w:pPr>
              <w:jc w:val="center"/>
              <w:rPr>
                <w:szCs w:val="21"/>
              </w:rPr>
            </w:pPr>
            <w:r>
              <w:rPr>
                <w:rFonts w:hint="eastAsia"/>
                <w:szCs w:val="21"/>
              </w:rPr>
              <w:t>美国</w:t>
            </w:r>
          </w:p>
        </w:tc>
        <w:tc>
          <w:tcPr>
            <w:tcW w:w="2689" w:type="dxa"/>
          </w:tcPr>
          <w:p>
            <w:pPr>
              <w:jc w:val="center"/>
              <w:rPr>
                <w:szCs w:val="21"/>
              </w:rPr>
            </w:pPr>
            <w:r>
              <w:rPr>
                <w:rFonts w:hint="eastAsia"/>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jc w:val="left"/>
              <w:rPr>
                <w:szCs w:val="21"/>
              </w:rPr>
            </w:pPr>
            <w:r>
              <w:rPr>
                <w:rFonts w:hint="eastAsia"/>
                <w:szCs w:val="21"/>
              </w:rPr>
              <w:t>3</w:t>
            </w:r>
          </w:p>
        </w:tc>
        <w:tc>
          <w:tcPr>
            <w:tcW w:w="2333" w:type="dxa"/>
          </w:tcPr>
          <w:p>
            <w:pPr>
              <w:jc w:val="center"/>
              <w:rPr>
                <w:rFonts w:asciiTheme="minorHAnsi" w:hAnsiTheme="minorHAnsi" w:eastAsiaTheme="minorEastAsia" w:cstheme="minorBidi"/>
                <w:szCs w:val="21"/>
              </w:rPr>
            </w:pPr>
            <w:r>
              <w:rPr>
                <w:rFonts w:hint="eastAsia" w:cstheme="minorBidi"/>
                <w:szCs w:val="21"/>
              </w:rPr>
              <w:t>ThermoFiser</w:t>
            </w:r>
          </w:p>
        </w:tc>
        <w:tc>
          <w:tcPr>
            <w:tcW w:w="2550" w:type="dxa"/>
          </w:tcPr>
          <w:p>
            <w:pPr>
              <w:jc w:val="center"/>
              <w:rPr>
                <w:szCs w:val="21"/>
              </w:rPr>
            </w:pPr>
            <w:r>
              <w:rPr>
                <w:rFonts w:hint="eastAsia"/>
                <w:szCs w:val="21"/>
              </w:rPr>
              <w:t>英国</w:t>
            </w:r>
          </w:p>
        </w:tc>
        <w:tc>
          <w:tcPr>
            <w:tcW w:w="2689" w:type="dxa"/>
          </w:tcPr>
          <w:p>
            <w:pPr>
              <w:jc w:val="center"/>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jc w:val="left"/>
              <w:rPr>
                <w:szCs w:val="21"/>
              </w:rPr>
            </w:pPr>
            <w:r>
              <w:rPr>
                <w:rFonts w:hint="eastAsia"/>
                <w:szCs w:val="21"/>
              </w:rPr>
              <w:t>4</w:t>
            </w:r>
          </w:p>
        </w:tc>
        <w:tc>
          <w:tcPr>
            <w:tcW w:w="2333" w:type="dxa"/>
          </w:tcPr>
          <w:p>
            <w:pPr>
              <w:jc w:val="center"/>
              <w:rPr>
                <w:szCs w:val="21"/>
              </w:rPr>
            </w:pPr>
            <w:r>
              <w:rPr>
                <w:rFonts w:hint="eastAsia"/>
                <w:szCs w:val="21"/>
              </w:rPr>
              <w:t>其他品牌</w:t>
            </w:r>
          </w:p>
        </w:tc>
        <w:tc>
          <w:tcPr>
            <w:tcW w:w="2550" w:type="dxa"/>
          </w:tcPr>
          <w:p>
            <w:pPr>
              <w:jc w:val="center"/>
              <w:rPr>
                <w:szCs w:val="21"/>
              </w:rPr>
            </w:pPr>
            <w:r>
              <w:rPr>
                <w:rFonts w:hint="eastAsia"/>
                <w:szCs w:val="21"/>
              </w:rPr>
              <w:t>中国</w:t>
            </w:r>
          </w:p>
        </w:tc>
        <w:tc>
          <w:tcPr>
            <w:tcW w:w="2689" w:type="dxa"/>
          </w:tcPr>
          <w:p>
            <w:pPr>
              <w:jc w:val="center"/>
              <w:rPr>
                <w:szCs w:val="21"/>
              </w:rPr>
            </w:pPr>
            <w:r>
              <w:rPr>
                <w:rFonts w:hint="eastAsia"/>
                <w:szCs w:val="21"/>
              </w:rPr>
              <w:t>15%</w:t>
            </w:r>
          </w:p>
        </w:tc>
      </w:tr>
    </w:tbl>
    <w:p>
      <w:pPr>
        <w:numPr>
          <w:ilvl w:val="0"/>
          <w:numId w:val="0"/>
        </w:numPr>
        <w:spacing w:line="380" w:lineRule="exact"/>
        <w:rPr>
          <w:rFonts w:ascii="FangSong_GB2312" w:hAnsi="宋体" w:eastAsia="FangSong_GB2312" w:cs="宋体"/>
          <w:sz w:val="32"/>
          <w:szCs w:val="32"/>
        </w:rPr>
      </w:pPr>
    </w:p>
    <w:p>
      <w:pPr>
        <w:ind w:firstLine="241" w:firstLineChars="100"/>
        <w:jc w:val="left"/>
        <w:rPr>
          <w:b/>
          <w:bCs/>
          <w:sz w:val="24"/>
          <w:szCs w:val="24"/>
        </w:rPr>
      </w:pPr>
      <w:r>
        <w:rPr>
          <w:rFonts w:hint="eastAsia"/>
          <w:b/>
          <w:bCs/>
          <w:sz w:val="24"/>
          <w:szCs w:val="24"/>
          <w:lang w:val="en-US" w:eastAsia="zh-CN"/>
        </w:rPr>
        <w:t>4、</w:t>
      </w:r>
      <w:r>
        <w:rPr>
          <w:rFonts w:hint="eastAsia"/>
          <w:b/>
          <w:bCs/>
          <w:sz w:val="24"/>
          <w:szCs w:val="24"/>
        </w:rPr>
        <w:t>国产、进口产品的核心技术标准与采购需求标准的对比情况</w:t>
      </w:r>
    </w:p>
    <w:p>
      <w:pPr>
        <w:ind w:firstLine="241" w:firstLineChars="100"/>
        <w:jc w:val="left"/>
        <w:rPr>
          <w:b/>
          <w:bCs/>
          <w:sz w:val="24"/>
          <w:szCs w:val="24"/>
        </w:rPr>
      </w:pPr>
    </w:p>
    <w:tbl>
      <w:tblPr>
        <w:tblStyle w:val="5"/>
        <w:tblW w:w="9307" w:type="dxa"/>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1822"/>
        <w:gridCol w:w="1890"/>
        <w:gridCol w:w="162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tcPr>
          <w:p>
            <w:pPr>
              <w:rPr>
                <w:rFonts w:eastAsiaTheme="minorEastAsia"/>
                <w:szCs w:val="21"/>
              </w:rPr>
            </w:pPr>
            <w:r>
              <w:rPr>
                <w:rFonts w:hint="eastAsia" w:eastAsiaTheme="minorEastAsia"/>
                <w:szCs w:val="21"/>
              </w:rPr>
              <w:t>品牌</w:t>
            </w:r>
          </w:p>
        </w:tc>
        <w:tc>
          <w:tcPr>
            <w:tcW w:w="1822" w:type="dxa"/>
            <w:vAlign w:val="center"/>
          </w:tcPr>
          <w:p>
            <w:pPr>
              <w:rPr>
                <w:rFonts w:eastAsiaTheme="minorEastAsia"/>
                <w:szCs w:val="21"/>
              </w:rPr>
            </w:pPr>
            <w:r>
              <w:rPr>
                <w:rFonts w:hint="eastAsia" w:eastAsiaTheme="minorEastAsia"/>
                <w:szCs w:val="21"/>
              </w:rPr>
              <w:t>美国BioRad</w:t>
            </w:r>
          </w:p>
        </w:tc>
        <w:tc>
          <w:tcPr>
            <w:tcW w:w="1890" w:type="dxa"/>
            <w:vAlign w:val="center"/>
          </w:tcPr>
          <w:p>
            <w:pPr>
              <w:rPr>
                <w:rFonts w:eastAsiaTheme="minorEastAsia"/>
                <w:szCs w:val="21"/>
              </w:rPr>
            </w:pPr>
            <w:r>
              <w:rPr>
                <w:rFonts w:hint="eastAsia" w:eastAsiaTheme="minorEastAsia"/>
                <w:szCs w:val="21"/>
              </w:rPr>
              <w:t>美国GE（Cytiva）</w:t>
            </w:r>
          </w:p>
        </w:tc>
        <w:tc>
          <w:tcPr>
            <w:tcW w:w="1620" w:type="dxa"/>
            <w:vAlign w:val="center"/>
          </w:tcPr>
          <w:p>
            <w:pPr>
              <w:rPr>
                <w:rFonts w:eastAsiaTheme="minorEastAsia"/>
                <w:szCs w:val="21"/>
              </w:rPr>
            </w:pPr>
            <w:r>
              <w:rPr>
                <w:rFonts w:hint="eastAsia" w:eastAsiaTheme="minorEastAsia"/>
                <w:szCs w:val="21"/>
              </w:rPr>
              <w:t>美国ThermoFiser</w:t>
            </w:r>
          </w:p>
        </w:tc>
        <w:tc>
          <w:tcPr>
            <w:tcW w:w="2040" w:type="dxa"/>
          </w:tcPr>
          <w:p>
            <w:pPr>
              <w:rPr>
                <w:rFonts w:eastAsiaTheme="minorEastAsia"/>
                <w:szCs w:val="21"/>
              </w:rPr>
            </w:pPr>
            <w:r>
              <w:rPr>
                <w:rFonts w:hint="eastAsia" w:eastAsiaTheme="minorEastAsia"/>
                <w:szCs w:val="21"/>
              </w:rPr>
              <w:t>上海天能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tcPr>
          <w:p>
            <w:pPr>
              <w:rPr>
                <w:rFonts w:eastAsiaTheme="minorEastAsia"/>
                <w:szCs w:val="21"/>
              </w:rPr>
            </w:pPr>
            <w:r>
              <w:rPr>
                <w:rFonts w:hint="eastAsia" w:eastAsiaTheme="minorEastAsia"/>
                <w:szCs w:val="21"/>
              </w:rPr>
              <w:t>国别</w:t>
            </w:r>
          </w:p>
        </w:tc>
        <w:tc>
          <w:tcPr>
            <w:tcW w:w="1822" w:type="dxa"/>
            <w:vAlign w:val="center"/>
          </w:tcPr>
          <w:p>
            <w:pPr>
              <w:rPr>
                <w:rFonts w:eastAsiaTheme="minorEastAsia"/>
                <w:szCs w:val="21"/>
              </w:rPr>
            </w:pPr>
            <w:r>
              <w:rPr>
                <w:rFonts w:hint="eastAsia" w:eastAsiaTheme="minorEastAsia"/>
                <w:szCs w:val="21"/>
              </w:rPr>
              <w:t>产地美国</w:t>
            </w:r>
          </w:p>
        </w:tc>
        <w:tc>
          <w:tcPr>
            <w:tcW w:w="1890" w:type="dxa"/>
            <w:vAlign w:val="center"/>
          </w:tcPr>
          <w:p>
            <w:pPr>
              <w:rPr>
                <w:rFonts w:eastAsiaTheme="minorEastAsia"/>
                <w:szCs w:val="21"/>
              </w:rPr>
            </w:pPr>
            <w:r>
              <w:rPr>
                <w:rFonts w:hint="eastAsia" w:eastAsiaTheme="minorEastAsia"/>
                <w:szCs w:val="21"/>
              </w:rPr>
              <w:t>产地美国</w:t>
            </w:r>
          </w:p>
        </w:tc>
        <w:tc>
          <w:tcPr>
            <w:tcW w:w="1620" w:type="dxa"/>
            <w:vAlign w:val="center"/>
          </w:tcPr>
          <w:p>
            <w:pPr>
              <w:rPr>
                <w:rFonts w:eastAsiaTheme="minorEastAsia"/>
                <w:szCs w:val="21"/>
              </w:rPr>
            </w:pPr>
            <w:r>
              <w:rPr>
                <w:rFonts w:hint="eastAsia" w:eastAsiaTheme="minorEastAsia"/>
                <w:szCs w:val="21"/>
              </w:rPr>
              <w:t>产地美国</w:t>
            </w:r>
          </w:p>
        </w:tc>
        <w:tc>
          <w:tcPr>
            <w:tcW w:w="2040" w:type="dxa"/>
            <w:vAlign w:val="center"/>
          </w:tcPr>
          <w:p>
            <w:pPr>
              <w:rPr>
                <w:rFonts w:eastAsiaTheme="minorEastAsia"/>
                <w:szCs w:val="21"/>
              </w:rPr>
            </w:pPr>
            <w:r>
              <w:rPr>
                <w:rFonts w:hint="eastAsia" w:eastAsiaTheme="minorEastAsia"/>
                <w:szCs w:val="21"/>
              </w:rPr>
              <w:t>产地中国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tcPr>
          <w:p>
            <w:pPr>
              <w:rPr>
                <w:rFonts w:eastAsiaTheme="minorEastAsia"/>
                <w:szCs w:val="21"/>
              </w:rPr>
            </w:pPr>
            <w:r>
              <w:rPr>
                <w:rFonts w:hint="eastAsia" w:eastAsiaTheme="minorEastAsia"/>
                <w:szCs w:val="21"/>
              </w:rPr>
              <w:t>型号</w:t>
            </w:r>
          </w:p>
          <w:p>
            <w:pPr>
              <w:rPr>
                <w:rFonts w:eastAsiaTheme="minorEastAsia"/>
                <w:szCs w:val="21"/>
              </w:rPr>
            </w:pPr>
            <w:r>
              <w:rPr>
                <w:rFonts w:hint="eastAsia" w:eastAsiaTheme="minorEastAsia"/>
                <w:szCs w:val="21"/>
              </w:rPr>
              <w:t>需求标准</w:t>
            </w:r>
          </w:p>
        </w:tc>
        <w:tc>
          <w:tcPr>
            <w:tcW w:w="1822" w:type="dxa"/>
            <w:vAlign w:val="center"/>
          </w:tcPr>
          <w:p>
            <w:pPr>
              <w:rPr>
                <w:rFonts w:eastAsiaTheme="minorEastAsia"/>
                <w:szCs w:val="21"/>
              </w:rPr>
            </w:pPr>
            <w:r>
              <w:rPr>
                <w:rFonts w:hint="eastAsia"/>
                <w:szCs w:val="21"/>
              </w:rPr>
              <w:t>MP4</w:t>
            </w:r>
          </w:p>
        </w:tc>
        <w:tc>
          <w:tcPr>
            <w:tcW w:w="1890" w:type="dxa"/>
            <w:vAlign w:val="center"/>
          </w:tcPr>
          <w:p>
            <w:pPr>
              <w:rPr>
                <w:rFonts w:eastAsiaTheme="minorEastAsia"/>
                <w:szCs w:val="21"/>
              </w:rPr>
            </w:pPr>
            <w:r>
              <w:rPr>
                <w:rFonts w:hint="eastAsia"/>
                <w:szCs w:val="21"/>
              </w:rPr>
              <w:t>GE Hoefer Mini VE</w:t>
            </w:r>
          </w:p>
        </w:tc>
        <w:tc>
          <w:tcPr>
            <w:tcW w:w="1620" w:type="dxa"/>
          </w:tcPr>
          <w:p>
            <w:pPr>
              <w:jc w:val="center"/>
              <w:rPr>
                <w:rFonts w:eastAsiaTheme="minorEastAsia"/>
                <w:szCs w:val="21"/>
              </w:rPr>
            </w:pPr>
            <w:r>
              <w:rPr>
                <w:rFonts w:eastAsiaTheme="minorEastAsia"/>
                <w:szCs w:val="21"/>
              </w:rPr>
              <w:t xml:space="preserve"> </w:t>
            </w:r>
            <w:r>
              <w:fldChar w:fldCharType="begin"/>
            </w:r>
            <w:r>
              <w:instrText xml:space="preserve"> HYPERLINK "https://www.thermofisher.cn/cn/zh/home/life-science/protein-biology/protein-gel-electrophoresis/protein-gel-electrophoresis-chamber-systems/mini-gel-tank.html" </w:instrText>
            </w:r>
            <w:r>
              <w:fldChar w:fldCharType="separate"/>
            </w:r>
            <w:r>
              <w:rPr>
                <w:rFonts w:eastAsiaTheme="minorEastAsia"/>
                <w:szCs w:val="21"/>
              </w:rPr>
              <w:t xml:space="preserve">Mini Gel Tank </w:t>
            </w:r>
            <w:r>
              <w:rPr>
                <w:rFonts w:eastAsiaTheme="minorEastAsia"/>
                <w:szCs w:val="21"/>
              </w:rPr>
              <w:fldChar w:fldCharType="end"/>
            </w:r>
          </w:p>
        </w:tc>
        <w:tc>
          <w:tcPr>
            <w:tcW w:w="2040" w:type="dxa"/>
          </w:tcPr>
          <w:p>
            <w:pPr>
              <w:rPr>
                <w:rFonts w:eastAsiaTheme="minorEastAsia"/>
                <w:szCs w:val="21"/>
              </w:rPr>
            </w:pPr>
            <w:r>
              <w:rPr>
                <w:rFonts w:eastAsiaTheme="minorEastAsia"/>
                <w:szCs w:val="21"/>
              </w:rPr>
              <w:t>EPS600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1–4</w:t>
            </w:r>
            <w:r>
              <w:rPr>
                <w:rFonts w:hint="eastAsia" w:ascii="Arial" w:hAnsi="Arial" w:cs="Arial"/>
                <w:bCs/>
                <w:szCs w:val="28"/>
              </w:rPr>
              <w:t>块小型</w:t>
            </w:r>
            <w:r>
              <w:rPr>
                <w:rFonts w:ascii="Arial" w:hAnsi="Arial" w:cs="Arial"/>
                <w:bCs/>
                <w:szCs w:val="28"/>
              </w:rPr>
              <w:t>凝胶</w:t>
            </w:r>
            <w:r>
              <w:rPr>
                <w:rFonts w:hint="eastAsia" w:ascii="Arial" w:hAnsi="Arial" w:cs="Arial"/>
                <w:bCs/>
                <w:szCs w:val="28"/>
              </w:rPr>
              <w:t>电泳</w:t>
            </w:r>
          </w:p>
          <w:p>
            <w:pPr>
              <w:rPr>
                <w:rFonts w:eastAsiaTheme="minorEastAsia"/>
                <w:szCs w:val="21"/>
              </w:rPr>
            </w:pPr>
          </w:p>
        </w:tc>
        <w:tc>
          <w:tcPr>
            <w:tcW w:w="1822"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1–4</w:t>
            </w:r>
            <w:r>
              <w:rPr>
                <w:rFonts w:hint="eastAsia" w:ascii="Arial" w:hAnsi="Arial" w:cs="Arial"/>
                <w:bCs/>
                <w:szCs w:val="28"/>
              </w:rPr>
              <w:t>块小型</w:t>
            </w:r>
            <w:r>
              <w:rPr>
                <w:rFonts w:ascii="Arial" w:hAnsi="Arial" w:cs="Arial"/>
                <w:bCs/>
                <w:szCs w:val="28"/>
              </w:rPr>
              <w:t>凝胶</w:t>
            </w:r>
            <w:r>
              <w:rPr>
                <w:rFonts w:hint="eastAsia" w:ascii="Arial" w:hAnsi="Arial" w:cs="Arial"/>
                <w:bCs/>
                <w:szCs w:val="28"/>
              </w:rPr>
              <w:t>电泳</w:t>
            </w:r>
          </w:p>
          <w:p>
            <w:pPr>
              <w:rPr>
                <w:rFonts w:eastAsiaTheme="minorEastAsia"/>
                <w:szCs w:val="21"/>
              </w:rPr>
            </w:pPr>
          </w:p>
        </w:tc>
        <w:tc>
          <w:tcPr>
            <w:tcW w:w="1890"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1–4</w:t>
            </w:r>
            <w:r>
              <w:rPr>
                <w:rFonts w:hint="eastAsia" w:ascii="Arial" w:hAnsi="Arial" w:cs="Arial"/>
                <w:bCs/>
                <w:szCs w:val="28"/>
              </w:rPr>
              <w:t>块小型</w:t>
            </w:r>
            <w:r>
              <w:rPr>
                <w:rFonts w:ascii="Arial" w:hAnsi="Arial" w:cs="Arial"/>
                <w:bCs/>
                <w:szCs w:val="28"/>
              </w:rPr>
              <w:t>凝胶</w:t>
            </w:r>
            <w:r>
              <w:rPr>
                <w:rFonts w:hint="eastAsia" w:ascii="Arial" w:hAnsi="Arial" w:cs="Arial"/>
                <w:bCs/>
                <w:szCs w:val="28"/>
              </w:rPr>
              <w:t>电泳</w:t>
            </w:r>
          </w:p>
          <w:p>
            <w:pPr>
              <w:rPr>
                <w:rFonts w:eastAsiaTheme="minorEastAsia"/>
                <w:szCs w:val="21"/>
              </w:rPr>
            </w:pPr>
          </w:p>
        </w:tc>
        <w:tc>
          <w:tcPr>
            <w:tcW w:w="1620"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1–4</w:t>
            </w:r>
            <w:r>
              <w:rPr>
                <w:rFonts w:hint="eastAsia" w:ascii="Arial" w:hAnsi="Arial" w:cs="Arial"/>
                <w:bCs/>
                <w:szCs w:val="28"/>
              </w:rPr>
              <w:t>块小型</w:t>
            </w:r>
            <w:r>
              <w:rPr>
                <w:rFonts w:ascii="Arial" w:hAnsi="Arial" w:cs="Arial"/>
                <w:bCs/>
                <w:szCs w:val="28"/>
              </w:rPr>
              <w:t>凝胶</w:t>
            </w:r>
            <w:r>
              <w:rPr>
                <w:rFonts w:hint="eastAsia" w:ascii="Arial" w:hAnsi="Arial" w:cs="Arial"/>
                <w:bCs/>
                <w:szCs w:val="28"/>
              </w:rPr>
              <w:t>电泳</w:t>
            </w:r>
          </w:p>
          <w:p>
            <w:pPr>
              <w:rPr>
                <w:rFonts w:eastAsiaTheme="minorEastAsia"/>
                <w:szCs w:val="21"/>
              </w:rPr>
            </w:pPr>
          </w:p>
        </w:tc>
        <w:tc>
          <w:tcPr>
            <w:tcW w:w="2040"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w:t>
            </w:r>
            <w:r>
              <w:rPr>
                <w:rFonts w:hint="eastAsia" w:ascii="Arial" w:hAnsi="Arial" w:cs="Arial"/>
                <w:bCs/>
                <w:szCs w:val="28"/>
              </w:rPr>
              <w:t>2块小型</w:t>
            </w:r>
            <w:r>
              <w:rPr>
                <w:rFonts w:ascii="Arial" w:hAnsi="Arial" w:cs="Arial"/>
                <w:bCs/>
                <w:szCs w:val="28"/>
              </w:rPr>
              <w:t>凝胶</w:t>
            </w:r>
            <w:r>
              <w:rPr>
                <w:rFonts w:hint="eastAsia" w:ascii="Arial" w:hAnsi="Arial" w:cs="Arial"/>
                <w:bCs/>
                <w:szCs w:val="28"/>
              </w:rPr>
              <w:t>电泳</w:t>
            </w:r>
          </w:p>
          <w:p>
            <w:pP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tcPr>
          <w:p>
            <w:pPr>
              <w:rPr>
                <w:rFonts w:eastAsiaTheme="minorEastAsia"/>
                <w:szCs w:val="21"/>
              </w:rPr>
            </w:pPr>
            <w:r>
              <w:rPr>
                <w:rFonts w:ascii="Arial" w:hAnsi="Arial" w:cs="Arial"/>
                <w:kern w:val="0"/>
                <w:szCs w:val="21"/>
              </w:rPr>
              <w:t>能同时转印</w:t>
            </w:r>
            <w:r>
              <w:rPr>
                <w:rFonts w:hint="eastAsia" w:ascii="Arial" w:hAnsi="Arial" w:cs="Arial"/>
                <w:kern w:val="0"/>
                <w:szCs w:val="21"/>
              </w:rPr>
              <w:t>1-</w:t>
            </w:r>
            <w:r>
              <w:rPr>
                <w:rFonts w:ascii="Arial" w:hAnsi="Arial" w:cs="Arial"/>
                <w:kern w:val="0"/>
                <w:szCs w:val="21"/>
              </w:rPr>
              <w:t>4块小型凝胶（8.3×7.3cm左右）</w:t>
            </w:r>
          </w:p>
        </w:tc>
        <w:tc>
          <w:tcPr>
            <w:tcW w:w="1822"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1–4</w:t>
            </w:r>
            <w:r>
              <w:rPr>
                <w:rFonts w:hint="eastAsia" w:ascii="Arial" w:hAnsi="Arial" w:cs="Arial"/>
                <w:bCs/>
                <w:szCs w:val="28"/>
              </w:rPr>
              <w:t>块小型</w:t>
            </w:r>
            <w:r>
              <w:rPr>
                <w:rFonts w:ascii="Arial" w:hAnsi="Arial" w:cs="Arial"/>
                <w:bCs/>
                <w:szCs w:val="28"/>
              </w:rPr>
              <w:t>凝胶</w:t>
            </w:r>
            <w:r>
              <w:rPr>
                <w:rFonts w:hint="eastAsia" w:ascii="Arial" w:hAnsi="Arial" w:cs="Arial"/>
                <w:bCs/>
                <w:szCs w:val="28"/>
              </w:rPr>
              <w:t>电泳</w:t>
            </w:r>
          </w:p>
          <w:p>
            <w:pPr>
              <w:rPr>
                <w:rFonts w:eastAsiaTheme="minorEastAsia"/>
                <w:szCs w:val="21"/>
              </w:rPr>
            </w:pPr>
            <w:r>
              <w:rPr>
                <w:rFonts w:hint="eastAsia" w:eastAsiaTheme="minorEastAsia"/>
                <w:szCs w:val="21"/>
              </w:rPr>
              <w:t>。</w:t>
            </w:r>
          </w:p>
        </w:tc>
        <w:tc>
          <w:tcPr>
            <w:tcW w:w="1890"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1–4</w:t>
            </w:r>
            <w:r>
              <w:rPr>
                <w:rFonts w:hint="eastAsia" w:ascii="Arial" w:hAnsi="Arial" w:cs="Arial"/>
                <w:bCs/>
                <w:szCs w:val="28"/>
              </w:rPr>
              <w:t>块小型</w:t>
            </w:r>
            <w:r>
              <w:rPr>
                <w:rFonts w:ascii="Arial" w:hAnsi="Arial" w:cs="Arial"/>
                <w:bCs/>
                <w:szCs w:val="28"/>
              </w:rPr>
              <w:t>凝胶</w:t>
            </w:r>
            <w:r>
              <w:rPr>
                <w:rFonts w:hint="eastAsia" w:ascii="Arial" w:hAnsi="Arial" w:cs="Arial"/>
                <w:bCs/>
                <w:szCs w:val="28"/>
              </w:rPr>
              <w:t>电泳</w:t>
            </w:r>
          </w:p>
          <w:p>
            <w:pPr>
              <w:rPr>
                <w:rFonts w:eastAsiaTheme="minorEastAsia"/>
                <w:szCs w:val="21"/>
              </w:rPr>
            </w:pPr>
            <w:r>
              <w:rPr>
                <w:rFonts w:hint="eastAsia" w:eastAsiaTheme="minorEastAsia"/>
                <w:szCs w:val="21"/>
              </w:rPr>
              <w:t>。</w:t>
            </w:r>
          </w:p>
        </w:tc>
        <w:tc>
          <w:tcPr>
            <w:tcW w:w="1620"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1–4</w:t>
            </w:r>
            <w:r>
              <w:rPr>
                <w:rFonts w:hint="eastAsia" w:ascii="Arial" w:hAnsi="Arial" w:cs="Arial"/>
                <w:bCs/>
                <w:szCs w:val="28"/>
              </w:rPr>
              <w:t>块小型</w:t>
            </w:r>
            <w:r>
              <w:rPr>
                <w:rFonts w:ascii="Arial" w:hAnsi="Arial" w:cs="Arial"/>
                <w:bCs/>
                <w:szCs w:val="28"/>
              </w:rPr>
              <w:t>凝胶</w:t>
            </w:r>
            <w:r>
              <w:rPr>
                <w:rFonts w:hint="eastAsia" w:ascii="Arial" w:hAnsi="Arial" w:cs="Arial"/>
                <w:bCs/>
                <w:szCs w:val="28"/>
              </w:rPr>
              <w:t>电泳</w:t>
            </w:r>
          </w:p>
          <w:p>
            <w:pPr>
              <w:rPr>
                <w:rFonts w:eastAsiaTheme="minorEastAsia"/>
                <w:szCs w:val="21"/>
              </w:rPr>
            </w:pPr>
          </w:p>
        </w:tc>
        <w:tc>
          <w:tcPr>
            <w:tcW w:w="2040" w:type="dxa"/>
          </w:tcPr>
          <w:p>
            <w:pPr>
              <w:spacing w:line="480" w:lineRule="auto"/>
              <w:rPr>
                <w:rFonts w:ascii="Arial" w:hAnsi="Arial" w:cs="Arial"/>
                <w:bCs/>
                <w:szCs w:val="28"/>
              </w:rPr>
            </w:pPr>
            <w:r>
              <w:rPr>
                <w:rFonts w:hint="eastAsia" w:ascii="Arial" w:hAnsi="Arial" w:cs="Arial"/>
                <w:bCs/>
                <w:szCs w:val="28"/>
              </w:rPr>
              <w:t>可同时进行</w:t>
            </w:r>
            <w:r>
              <w:rPr>
                <w:rFonts w:ascii="Arial" w:hAnsi="Arial" w:cs="Arial"/>
                <w:bCs/>
                <w:szCs w:val="28"/>
              </w:rPr>
              <w:t>1–</w:t>
            </w:r>
            <w:r>
              <w:rPr>
                <w:rFonts w:hint="eastAsia" w:ascii="Arial" w:hAnsi="Arial" w:cs="Arial"/>
                <w:bCs/>
                <w:szCs w:val="28"/>
              </w:rPr>
              <w:t>2块小型</w:t>
            </w:r>
            <w:r>
              <w:rPr>
                <w:rFonts w:ascii="Arial" w:hAnsi="Arial" w:cs="Arial"/>
                <w:bCs/>
                <w:szCs w:val="28"/>
              </w:rPr>
              <w:t>凝胶</w:t>
            </w:r>
            <w:r>
              <w:rPr>
                <w:rFonts w:hint="eastAsia" w:ascii="Arial" w:hAnsi="Arial" w:cs="Arial"/>
                <w:bCs/>
                <w:szCs w:val="28"/>
              </w:rPr>
              <w:t>电泳</w:t>
            </w:r>
          </w:p>
          <w:p>
            <w:pP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tcPr>
          <w:p>
            <w:r>
              <w:rPr>
                <w:rFonts w:hint="eastAsia"/>
              </w:rPr>
              <w:t>输出: 4对电源输出,可同时运行4个电泳槽</w:t>
            </w:r>
          </w:p>
          <w:p/>
          <w:p>
            <w:pPr>
              <w:rPr>
                <w:rFonts w:eastAsiaTheme="minorEastAsia"/>
                <w:szCs w:val="21"/>
              </w:rPr>
            </w:pPr>
          </w:p>
        </w:tc>
        <w:tc>
          <w:tcPr>
            <w:tcW w:w="1822" w:type="dxa"/>
          </w:tcPr>
          <w:p>
            <w:r>
              <w:rPr>
                <w:rFonts w:hint="eastAsia"/>
              </w:rPr>
              <w:t>输出: 4对电源输出,可同时运行4个电泳槽</w:t>
            </w:r>
          </w:p>
          <w:p>
            <w:pPr>
              <w:rPr>
                <w:rFonts w:eastAsiaTheme="minorEastAsia"/>
                <w:szCs w:val="21"/>
              </w:rPr>
            </w:pPr>
          </w:p>
        </w:tc>
        <w:tc>
          <w:tcPr>
            <w:tcW w:w="1890" w:type="dxa"/>
          </w:tcPr>
          <w:p>
            <w:r>
              <w:rPr>
                <w:rFonts w:hint="eastAsia"/>
              </w:rPr>
              <w:t>输出: 4对电源输出,可同时运行4个电泳槽</w:t>
            </w:r>
          </w:p>
          <w:p>
            <w:pPr>
              <w:rPr>
                <w:rFonts w:eastAsiaTheme="minorEastAsia"/>
                <w:szCs w:val="21"/>
              </w:rPr>
            </w:pPr>
          </w:p>
        </w:tc>
        <w:tc>
          <w:tcPr>
            <w:tcW w:w="1620" w:type="dxa"/>
          </w:tcPr>
          <w:p>
            <w:r>
              <w:rPr>
                <w:rFonts w:hint="eastAsia"/>
              </w:rPr>
              <w:t>输出: 4对电源输出,可同时运行4个电泳槽</w:t>
            </w:r>
          </w:p>
          <w:p>
            <w:pPr>
              <w:rPr>
                <w:rFonts w:eastAsiaTheme="minorEastAsia"/>
                <w:szCs w:val="21"/>
              </w:rPr>
            </w:pPr>
          </w:p>
        </w:tc>
        <w:tc>
          <w:tcPr>
            <w:tcW w:w="2040" w:type="dxa"/>
          </w:tcPr>
          <w:p>
            <w:r>
              <w:rPr>
                <w:rFonts w:hint="eastAsia"/>
              </w:rPr>
              <w:t>输出: 2对电源输出,可同时运行2个电泳槽</w:t>
            </w:r>
          </w:p>
          <w:p>
            <w:pPr>
              <w:rPr>
                <w:rFonts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5" w:type="dxa"/>
          </w:tcPr>
          <w:p>
            <w:r>
              <w:rPr>
                <w:rFonts w:hint="eastAsia"/>
              </w:rPr>
              <w:t>输出方式:恒压,恒流方式或恒功率,可编程</w:t>
            </w:r>
          </w:p>
          <w:p>
            <w:pPr>
              <w:rPr>
                <w:rFonts w:eastAsiaTheme="minorEastAsia"/>
                <w:szCs w:val="21"/>
              </w:rPr>
            </w:pPr>
          </w:p>
        </w:tc>
        <w:tc>
          <w:tcPr>
            <w:tcW w:w="1822" w:type="dxa"/>
          </w:tcPr>
          <w:p>
            <w:r>
              <w:rPr>
                <w:rFonts w:hint="eastAsia"/>
              </w:rPr>
              <w:t>输出方式:恒压,恒流方式或恒功率,可编程</w:t>
            </w:r>
          </w:p>
          <w:p>
            <w:pPr>
              <w:rPr>
                <w:rFonts w:eastAsiaTheme="minorEastAsia"/>
                <w:szCs w:val="21"/>
              </w:rPr>
            </w:pPr>
          </w:p>
        </w:tc>
        <w:tc>
          <w:tcPr>
            <w:tcW w:w="1890" w:type="dxa"/>
          </w:tcPr>
          <w:p>
            <w:r>
              <w:rPr>
                <w:rFonts w:hint="eastAsia"/>
              </w:rPr>
              <w:t>输出方式:恒压,恒流方式或恒功率,可编程</w:t>
            </w:r>
          </w:p>
          <w:p>
            <w:pPr>
              <w:rPr>
                <w:rFonts w:eastAsiaTheme="minorEastAsia"/>
                <w:szCs w:val="21"/>
              </w:rPr>
            </w:pPr>
          </w:p>
        </w:tc>
        <w:tc>
          <w:tcPr>
            <w:tcW w:w="1620" w:type="dxa"/>
          </w:tcPr>
          <w:p>
            <w:r>
              <w:rPr>
                <w:rFonts w:hint="eastAsia"/>
              </w:rPr>
              <w:t>输出方式:恒压,恒流方式或恒功率,可编程</w:t>
            </w:r>
          </w:p>
          <w:p>
            <w:pPr>
              <w:rPr>
                <w:rFonts w:eastAsiaTheme="minorEastAsia"/>
                <w:szCs w:val="21"/>
              </w:rPr>
            </w:pPr>
          </w:p>
        </w:tc>
        <w:tc>
          <w:tcPr>
            <w:tcW w:w="2040" w:type="dxa"/>
          </w:tcPr>
          <w:p>
            <w:r>
              <w:rPr>
                <w:rFonts w:hint="eastAsia"/>
              </w:rPr>
              <w:t>输出方式:恒压,恒流方式或恒功率</w:t>
            </w:r>
          </w:p>
          <w:p>
            <w:pPr>
              <w:rPr>
                <w:rFonts w:eastAsiaTheme="minorEastAsia"/>
                <w:szCs w:val="21"/>
              </w:rPr>
            </w:pPr>
          </w:p>
        </w:tc>
      </w:tr>
    </w:tbl>
    <w:p>
      <w:pPr>
        <w:spacing w:line="380" w:lineRule="exact"/>
        <w:ind w:left="420" w:leftChars="200"/>
        <w:rPr>
          <w:rFonts w:ascii="FangSong_GB2312" w:hAnsi="宋体" w:eastAsia="FangSong_GB2312" w:cs="宋体"/>
          <w:sz w:val="32"/>
          <w:szCs w:val="32"/>
        </w:rPr>
      </w:pP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三、需求调查过程</w:t>
      </w:r>
    </w:p>
    <w:p>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bookmarkStart w:id="0" w:name="_GoBack"/>
      <w:bookmarkEnd w:id="0"/>
      <w:r>
        <w:rPr>
          <w:rFonts w:hint="eastAsia" w:ascii="宋体" w:hAnsi="宋体" w:cs="微软雅黑"/>
          <w:color w:val="000000" w:themeColor="text1"/>
          <w:kern w:val="0"/>
          <w:sz w:val="24"/>
          <w:szCs w:val="24"/>
          <w:shd w:val="clear" w:color="auto" w:fill="FFFFFF"/>
          <w14:textFill>
            <w14:solidFill>
              <w14:schemeClr w14:val="tx1"/>
            </w14:solidFill>
          </w14:textFill>
        </w:rPr>
        <w:t>医院设备科及神经调控代谢性疾病研究中心在 202</w:t>
      </w: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3</w:t>
      </w:r>
      <w:r>
        <w:rPr>
          <w:rFonts w:hint="eastAsia" w:ascii="宋体" w:hAnsi="宋体" w:cs="微软雅黑"/>
          <w:color w:val="000000" w:themeColor="text1"/>
          <w:kern w:val="0"/>
          <w:sz w:val="24"/>
          <w:szCs w:val="24"/>
          <w:shd w:val="clear" w:color="auto" w:fill="FFFFFF"/>
          <w14:textFill>
            <w14:solidFill>
              <w14:schemeClr w14:val="tx1"/>
            </w14:solidFill>
          </w14:textFill>
        </w:rPr>
        <w:t>期间对意向品牌通过官网查询、电话咨询、实地调研、会议机器参观操作等，202</w:t>
      </w: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3</w:t>
      </w:r>
      <w:r>
        <w:rPr>
          <w:rFonts w:hint="eastAsia" w:ascii="宋体" w:hAnsi="宋体" w:cs="微软雅黑"/>
          <w:color w:val="000000" w:themeColor="text1"/>
          <w:kern w:val="0"/>
          <w:sz w:val="24"/>
          <w:szCs w:val="24"/>
          <w:shd w:val="clear" w:color="auto" w:fill="FFFFFF"/>
          <w14:textFill>
            <w14:solidFill>
              <w14:schemeClr w14:val="tx1"/>
            </w14:solidFill>
          </w14:textFill>
        </w:rPr>
        <w:t>年</w:t>
      </w: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6</w:t>
      </w:r>
      <w:r>
        <w:rPr>
          <w:rFonts w:hint="eastAsia" w:ascii="宋体" w:hAnsi="宋体" w:cs="微软雅黑"/>
          <w:color w:val="000000" w:themeColor="text1"/>
          <w:kern w:val="0"/>
          <w:sz w:val="24"/>
          <w:szCs w:val="24"/>
          <w:shd w:val="clear" w:color="auto" w:fill="FFFFFF"/>
          <w14:textFill>
            <w14:solidFill>
              <w14:schemeClr w14:val="tx1"/>
            </w14:solidFill>
          </w14:textFill>
        </w:rPr>
        <w:t>月</w:t>
      </w: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3</w:t>
      </w:r>
      <w:r>
        <w:rPr>
          <w:rFonts w:hint="eastAsia" w:ascii="宋体" w:hAnsi="宋体" w:cs="微软雅黑"/>
          <w:color w:val="000000" w:themeColor="text1"/>
          <w:kern w:val="0"/>
          <w:sz w:val="24"/>
          <w:szCs w:val="24"/>
          <w:shd w:val="clear" w:color="auto" w:fill="FFFFFF"/>
          <w14:textFill>
            <w14:solidFill>
              <w14:schemeClr w14:val="tx1"/>
            </w14:solidFill>
          </w14:textFill>
        </w:rPr>
        <w:t>日在医院外官网公开发布面向全国各潜在品牌的项目采购意向公告，调查了美国Bio-Rad、美国GE（Cytiva）</w:t>
      </w:r>
      <w:r>
        <w:rPr>
          <w:rFonts w:hint="eastAsia" w:ascii="宋体" w:hAnsi="宋体" w:cs="微软雅黑"/>
          <w:color w:val="000000" w:themeColor="text1"/>
          <w:kern w:val="0"/>
          <w:sz w:val="24"/>
          <w:szCs w:val="24"/>
          <w:shd w:val="clear" w:color="auto" w:fill="FFFFFF"/>
          <w:lang w:eastAsia="zh-CN"/>
          <w14:textFill>
            <w14:solidFill>
              <w14:schemeClr w14:val="tx1"/>
            </w14:solidFill>
          </w14:textFill>
        </w:rPr>
        <w:t>、</w:t>
      </w:r>
      <w:r>
        <w:rPr>
          <w:rFonts w:hint="eastAsia" w:ascii="宋体" w:hAnsi="宋体" w:cs="微软雅黑"/>
          <w:color w:val="000000" w:themeColor="text1"/>
          <w:kern w:val="0"/>
          <w:sz w:val="24"/>
          <w:szCs w:val="24"/>
          <w:shd w:val="clear" w:color="auto" w:fill="FFFFFF"/>
          <w14:textFill>
            <w14:solidFill>
              <w14:schemeClr w14:val="tx1"/>
            </w14:solidFill>
          </w14:textFill>
        </w:rPr>
        <w:t>美国ThermoFiser</w:t>
      </w:r>
      <w:r>
        <w:rPr>
          <w:rFonts w:hint="eastAsia" w:ascii="宋体" w:hAnsi="宋体" w:cs="微软雅黑"/>
          <w:color w:val="000000" w:themeColor="text1"/>
          <w:kern w:val="0"/>
          <w:sz w:val="24"/>
          <w:szCs w:val="24"/>
          <w:shd w:val="clear" w:color="auto" w:fill="FFFFFF"/>
          <w:lang w:eastAsia="zh-CN"/>
          <w14:textFill>
            <w14:solidFill>
              <w14:schemeClr w14:val="tx1"/>
            </w14:solidFill>
          </w14:textFill>
        </w:rPr>
        <w:t>、</w:t>
      </w:r>
      <w:r>
        <w:rPr>
          <w:rFonts w:hint="eastAsia" w:ascii="宋体" w:hAnsi="宋体" w:cs="微软雅黑"/>
          <w:color w:val="000000" w:themeColor="text1"/>
          <w:kern w:val="0"/>
          <w:sz w:val="24"/>
          <w:szCs w:val="24"/>
          <w:shd w:val="clear" w:color="auto" w:fill="FFFFFF"/>
          <w14:textFill>
            <w14:solidFill>
              <w14:schemeClr w14:val="tx1"/>
            </w14:solidFill>
          </w14:textFill>
        </w:rPr>
        <w:t>上海天能，202</w:t>
      </w: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3</w:t>
      </w:r>
      <w:r>
        <w:rPr>
          <w:rFonts w:hint="eastAsia" w:ascii="宋体" w:hAnsi="宋体" w:cs="微软雅黑"/>
          <w:color w:val="000000" w:themeColor="text1"/>
          <w:kern w:val="0"/>
          <w:sz w:val="24"/>
          <w:szCs w:val="24"/>
          <w:shd w:val="clear" w:color="auto" w:fill="FFFFFF"/>
          <w14:textFill>
            <w14:solidFill>
              <w14:schemeClr w14:val="tx1"/>
            </w14:solidFill>
          </w14:textFill>
        </w:rPr>
        <w:t>年</w:t>
      </w: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10</w:t>
      </w:r>
      <w:r>
        <w:rPr>
          <w:rFonts w:hint="eastAsia" w:ascii="宋体" w:hAnsi="宋体" w:cs="微软雅黑"/>
          <w:color w:val="000000" w:themeColor="text1"/>
          <w:kern w:val="0"/>
          <w:sz w:val="24"/>
          <w:szCs w:val="24"/>
          <w:shd w:val="clear" w:color="auto" w:fill="FFFFFF"/>
          <w14:textFill>
            <w14:solidFill>
              <w14:schemeClr w14:val="tx1"/>
            </w14:solidFill>
          </w14:textFill>
        </w:rPr>
        <w:t>月</w:t>
      </w: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26</w:t>
      </w:r>
      <w:r>
        <w:rPr>
          <w:rFonts w:hint="eastAsia" w:ascii="宋体" w:hAnsi="宋体" w:cs="微软雅黑"/>
          <w:color w:val="000000" w:themeColor="text1"/>
          <w:kern w:val="0"/>
          <w:sz w:val="24"/>
          <w:szCs w:val="24"/>
          <w:shd w:val="clear" w:color="auto" w:fill="FFFFFF"/>
          <w14:textFill>
            <w14:solidFill>
              <w14:schemeClr w14:val="tx1"/>
            </w14:solidFill>
          </w14:textFill>
        </w:rPr>
        <w:t>日在医院鲤城院区门诊大楼十楼第三会议室公开组织现场设备论证询价会，有医院主要领导、设备科、审计、采管办、检验等组成的联合谈判小组与供应商、厂家进行面对面谈判询价，参与现场谈判的企业品牌有美国Bio-Rad、美国GE（Cytiva），美国ThermoFiser，上海天能。</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四、调查结论</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lang w:val="en-US" w:eastAsia="zh-CN"/>
          <w14:textFill>
            <w14:solidFill>
              <w14:schemeClr w14:val="tx1"/>
            </w14:solidFill>
          </w14:textFill>
        </w:rPr>
        <w:t>通过对</w:t>
      </w:r>
      <w:r>
        <w:rPr>
          <w:rFonts w:hint="eastAsia" w:ascii="宋体" w:hAnsi="宋体" w:cs="微软雅黑"/>
          <w:color w:val="000000" w:themeColor="text1"/>
          <w:kern w:val="0"/>
          <w:sz w:val="24"/>
          <w:szCs w:val="24"/>
          <w:shd w:val="clear" w:color="auto" w:fill="FFFFFF"/>
          <w14:textFill>
            <w14:solidFill>
              <w14:schemeClr w14:val="tx1"/>
            </w14:solidFill>
          </w14:textFill>
        </w:rPr>
        <w:t>项目调查，我们发现进口里Bio-Rad公司小型垂直半干转电泳系统具有：1、可同时进行1–4块小型凝胶电泳2、能同时转印1-4块小型凝胶（8.3×7.3cm左右）3、输出: 4对电源输出,可同时运行4个电泳槽输出方式:4、恒压,恒流方式或恒功率,可编程。完全满足本中心的实验需求，且我们确认进口小型垂直半干转电泳系统具有寿命长、故障少、准确率较高、稳定性好、安全性高等特点，故我们的调查结论认为伯乐小型垂直半干转电泳系统符合我们实验室对该设备的4个基本需求，故特此向上级主管部门申请购置。</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五、调查结果承诺</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承诺上述需求调查内容真实有效，无虚假情况，本单位对此报告内容的真实性负责。</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r>
        <w:rPr>
          <w:rFonts w:hint="eastAsia" w:ascii="宋体" w:hAnsi="宋体" w:cs="微软雅黑"/>
          <w:color w:val="000000" w:themeColor="text1"/>
          <w:kern w:val="0"/>
          <w:sz w:val="24"/>
          <w:szCs w:val="24"/>
          <w:shd w:val="clear" w:color="auto" w:fill="FFFFFF"/>
          <w14:textFill>
            <w14:solidFill>
              <w14:schemeClr w14:val="tx1"/>
            </w14:solidFill>
          </w14:textFill>
        </w:rPr>
        <w:t>六、附件</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微软雅黑"/>
          <w:color w:val="000000" w:themeColor="text1"/>
          <w:kern w:val="0"/>
          <w:sz w:val="24"/>
          <w:szCs w:val="24"/>
          <w:shd w:val="clear" w:color="auto" w:fill="FFFFFF"/>
          <w14:textFill>
            <w14:solidFill>
              <w14:schemeClr w14:val="tx1"/>
            </w14:solidFill>
          </w14:textFill>
        </w:rPr>
      </w:pPr>
    </w:p>
    <w:p>
      <w:pPr>
        <w:spacing w:line="380" w:lineRule="exact"/>
        <w:ind w:firstLine="3640" w:firstLineChars="1300"/>
        <w:jc w:val="right"/>
        <w:rPr>
          <w:rFonts w:ascii="宋体" w:hAnsi="宋体" w:cs="微软雅黑"/>
          <w:color w:val="000000" w:themeColor="text1"/>
          <w:kern w:val="0"/>
          <w:sz w:val="28"/>
          <w:szCs w:val="28"/>
          <w:shd w:val="clear" w:color="auto" w:fill="FFFFFF"/>
          <w14:textFill>
            <w14:solidFill>
              <w14:schemeClr w14:val="tx1"/>
            </w14:solidFill>
          </w14:textFill>
        </w:rPr>
      </w:pPr>
    </w:p>
    <w:p>
      <w:pPr>
        <w:spacing w:line="380" w:lineRule="exact"/>
        <w:ind w:firstLine="3640" w:firstLineChars="1300"/>
        <w:jc w:val="right"/>
        <w:rPr>
          <w:rFonts w:ascii="宋体" w:hAnsi="宋体" w:cs="微软雅黑"/>
          <w:color w:val="000000" w:themeColor="text1"/>
          <w:kern w:val="0"/>
          <w:sz w:val="28"/>
          <w:szCs w:val="28"/>
          <w:shd w:val="clear" w:color="auto" w:fill="FFFFFF"/>
          <w14:textFill>
            <w14:solidFill>
              <w14:schemeClr w14:val="tx1"/>
            </w14:solidFill>
          </w14:textFill>
        </w:rPr>
      </w:pPr>
    </w:p>
    <w:p>
      <w:pPr>
        <w:spacing w:line="380" w:lineRule="exact"/>
        <w:ind w:firstLine="3640" w:firstLineChars="1300"/>
        <w:jc w:val="right"/>
        <w:rPr>
          <w:rFonts w:ascii="宋体" w:hAnsi="宋体" w:cs="微软雅黑"/>
          <w:color w:val="000000" w:themeColor="text1"/>
          <w:kern w:val="0"/>
          <w:sz w:val="28"/>
          <w:szCs w:val="28"/>
          <w:shd w:val="clear" w:color="auto" w:fill="FFFFFF"/>
          <w14:textFill>
            <w14:solidFill>
              <w14:schemeClr w14:val="tx1"/>
            </w14:solidFill>
          </w14:textFill>
        </w:rPr>
      </w:pPr>
    </w:p>
    <w:p>
      <w:pPr>
        <w:spacing w:line="380" w:lineRule="exact"/>
        <w:ind w:firstLine="3640" w:firstLineChars="1300"/>
        <w:jc w:val="right"/>
        <w:rPr>
          <w:rFonts w:ascii="宋体" w:hAnsi="宋体" w:cs="微软雅黑"/>
          <w:color w:val="000000" w:themeColor="text1"/>
          <w:kern w:val="0"/>
          <w:sz w:val="28"/>
          <w:szCs w:val="28"/>
          <w:shd w:val="clear" w:color="auto" w:fill="FFFFFF"/>
          <w14:textFill>
            <w14:solidFill>
              <w14:schemeClr w14:val="tx1"/>
            </w14:solidFill>
          </w14:textFill>
        </w:rPr>
      </w:pPr>
    </w:p>
    <w:p>
      <w:pPr>
        <w:spacing w:line="380" w:lineRule="exact"/>
        <w:jc w:val="both"/>
        <w:rPr>
          <w:rFonts w:ascii="宋体" w:hAnsi="宋体" w:cs="微软雅黑"/>
          <w:color w:val="000000" w:themeColor="text1"/>
          <w:kern w:val="0"/>
          <w:sz w:val="28"/>
          <w:szCs w:val="28"/>
          <w:shd w:val="clear" w:color="auto" w:fill="FFFFFF"/>
          <w14:textFill>
            <w14:solidFill>
              <w14:schemeClr w14:val="tx1"/>
            </w14:solidFill>
          </w14:textFill>
        </w:rPr>
      </w:pPr>
    </w:p>
    <w:p>
      <w:pPr>
        <w:spacing w:line="380" w:lineRule="exact"/>
        <w:jc w:val="both"/>
        <w:rPr>
          <w:rFonts w:ascii="宋体" w:hAnsi="宋体" w:cs="微软雅黑"/>
          <w:color w:val="000000" w:themeColor="text1"/>
          <w:kern w:val="0"/>
          <w:sz w:val="28"/>
          <w:szCs w:val="28"/>
          <w:shd w:val="clear" w:color="auto" w:fill="FFFFFF"/>
          <w14:textFill>
            <w14:solidFill>
              <w14:schemeClr w14:val="tx1"/>
            </w14:solidFill>
          </w14:textFill>
        </w:rPr>
      </w:pPr>
    </w:p>
    <w:p>
      <w:pPr>
        <w:spacing w:line="240" w:lineRule="auto"/>
        <w:jc w:val="both"/>
        <w:rPr>
          <w:rFonts w:hint="eastAsia" w:ascii="宋体" w:hAnsi="宋体" w:eastAsia="宋体" w:cs="微软雅黑"/>
          <w:color w:val="000000" w:themeColor="text1"/>
          <w:kern w:val="0"/>
          <w:sz w:val="28"/>
          <w:szCs w:val="28"/>
          <w:shd w:val="clear" w:color="auto" w:fill="FFFFFF"/>
          <w:lang w:eastAsia="zh-CN"/>
          <w14:textFill>
            <w14:solidFill>
              <w14:schemeClr w14:val="tx1"/>
            </w14:solidFill>
          </w14:textFill>
        </w:rPr>
      </w:pPr>
      <w:r>
        <w:rPr>
          <w:rFonts w:hint="eastAsia" w:ascii="宋体" w:hAnsi="宋体" w:eastAsia="宋体" w:cs="微软雅黑"/>
          <w:color w:val="000000" w:themeColor="text1"/>
          <w:kern w:val="0"/>
          <w:sz w:val="28"/>
          <w:szCs w:val="28"/>
          <w:shd w:val="clear" w:color="auto" w:fill="FFFFFF"/>
          <w:lang w:eastAsia="zh-CN"/>
          <w14:textFill>
            <w14:solidFill>
              <w14:schemeClr w14:val="tx1"/>
            </w14:solidFill>
          </w14:textFill>
        </w:rPr>
        <w:drawing>
          <wp:inline distT="0" distB="0" distL="114300" distR="114300">
            <wp:extent cx="5917565" cy="8373745"/>
            <wp:effectExtent l="0" t="0" r="6985" b="8255"/>
            <wp:docPr id="8" name="图片 8" descr="关于医疗设备采购意向的公告--福建医科大学附属第二医院(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关于医疗设备采购意向的公告--福建医科大学附属第二医院(1)_页面_1"/>
                    <pic:cNvPicPr>
                      <a:picLocks noChangeAspect="1"/>
                    </pic:cNvPicPr>
                  </pic:nvPicPr>
                  <pic:blipFill>
                    <a:blip r:embed="rId4"/>
                    <a:stretch>
                      <a:fillRect/>
                    </a:stretch>
                  </pic:blipFill>
                  <pic:spPr>
                    <a:xfrm>
                      <a:off x="0" y="0"/>
                      <a:ext cx="5917565" cy="8373745"/>
                    </a:xfrm>
                    <a:prstGeom prst="rect">
                      <a:avLst/>
                    </a:prstGeom>
                  </pic:spPr>
                </pic:pic>
              </a:graphicData>
            </a:graphic>
          </wp:inline>
        </w:drawing>
      </w:r>
      <w:r>
        <w:rPr>
          <w:rFonts w:hint="eastAsia" w:ascii="宋体" w:hAnsi="宋体" w:eastAsia="宋体" w:cs="微软雅黑"/>
          <w:color w:val="000000" w:themeColor="text1"/>
          <w:kern w:val="0"/>
          <w:sz w:val="28"/>
          <w:szCs w:val="28"/>
          <w:shd w:val="clear" w:color="auto" w:fill="FFFFFF"/>
          <w:lang w:eastAsia="zh-CN"/>
          <w14:textFill>
            <w14:solidFill>
              <w14:schemeClr w14:val="tx1"/>
            </w14:solidFill>
          </w14:textFill>
        </w:rPr>
        <w:drawing>
          <wp:inline distT="0" distB="0" distL="114300" distR="114300">
            <wp:extent cx="5917565" cy="8373745"/>
            <wp:effectExtent l="0" t="0" r="6985" b="8255"/>
            <wp:docPr id="7" name="图片 7" descr="关于医疗设备采购意向的公告--福建医科大学附属第二医院(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关于医疗设备采购意向的公告--福建医科大学附属第二医院(1)_页面_2"/>
                    <pic:cNvPicPr>
                      <a:picLocks noChangeAspect="1"/>
                    </pic:cNvPicPr>
                  </pic:nvPicPr>
                  <pic:blipFill>
                    <a:blip r:embed="rId5"/>
                    <a:stretch>
                      <a:fillRect/>
                    </a:stretch>
                  </pic:blipFill>
                  <pic:spPr>
                    <a:xfrm>
                      <a:off x="0" y="0"/>
                      <a:ext cx="5917565" cy="8373745"/>
                    </a:xfrm>
                    <a:prstGeom prst="rect">
                      <a:avLst/>
                    </a:prstGeom>
                  </pic:spPr>
                </pic:pic>
              </a:graphicData>
            </a:graphic>
          </wp:inline>
        </w:drawing>
      </w:r>
      <w:r>
        <w:rPr>
          <w:rFonts w:hint="eastAsia" w:ascii="宋体" w:hAnsi="宋体" w:eastAsia="宋体" w:cs="微软雅黑"/>
          <w:color w:val="000000" w:themeColor="text1"/>
          <w:kern w:val="0"/>
          <w:sz w:val="28"/>
          <w:szCs w:val="28"/>
          <w:shd w:val="clear" w:color="auto" w:fill="FFFFFF"/>
          <w:lang w:eastAsia="zh-CN"/>
          <w14:textFill>
            <w14:solidFill>
              <w14:schemeClr w14:val="tx1"/>
            </w14:solidFill>
          </w14:textFill>
        </w:rPr>
        <w:drawing>
          <wp:inline distT="0" distB="0" distL="114300" distR="114300">
            <wp:extent cx="5917565" cy="8373745"/>
            <wp:effectExtent l="0" t="0" r="6985" b="8255"/>
            <wp:docPr id="6" name="图片 6" descr="关于医疗设备采购意向的公告--福建医科大学附属第二医院(1)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关于医疗设备采购意向的公告--福建医科大学附属第二医院(1)_页面_3"/>
                    <pic:cNvPicPr>
                      <a:picLocks noChangeAspect="1"/>
                    </pic:cNvPicPr>
                  </pic:nvPicPr>
                  <pic:blipFill>
                    <a:blip r:embed="rId6"/>
                    <a:stretch>
                      <a:fillRect/>
                    </a:stretch>
                  </pic:blipFill>
                  <pic:spPr>
                    <a:xfrm>
                      <a:off x="0" y="0"/>
                      <a:ext cx="5917565" cy="8373745"/>
                    </a:xfrm>
                    <a:prstGeom prst="rect">
                      <a:avLst/>
                    </a:prstGeom>
                  </pic:spPr>
                </pic:pic>
              </a:graphicData>
            </a:graphic>
          </wp:inline>
        </w:drawing>
      </w:r>
      <w:r>
        <w:rPr>
          <w:rFonts w:hint="eastAsia" w:ascii="宋体" w:hAnsi="宋体" w:eastAsia="宋体" w:cs="微软雅黑"/>
          <w:color w:val="000000" w:themeColor="text1"/>
          <w:kern w:val="0"/>
          <w:sz w:val="28"/>
          <w:szCs w:val="28"/>
          <w:shd w:val="clear" w:color="auto" w:fill="FFFFFF"/>
          <w:lang w:eastAsia="zh-CN"/>
          <w14:textFill>
            <w14:solidFill>
              <w14:schemeClr w14:val="tx1"/>
            </w14:solidFill>
          </w14:textFill>
        </w:rPr>
        <w:drawing>
          <wp:inline distT="0" distB="0" distL="114300" distR="114300">
            <wp:extent cx="5911215" cy="8362950"/>
            <wp:effectExtent l="0" t="0" r="13335" b="0"/>
            <wp:docPr id="5" name="图片 5" descr="关于医疗设备采购意向的公告--福建医科大学附属第二医院(1)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关于医疗设备采购意向的公告--福建医科大学附属第二医院(1)_页面_4"/>
                    <pic:cNvPicPr>
                      <a:picLocks noChangeAspect="1"/>
                    </pic:cNvPicPr>
                  </pic:nvPicPr>
                  <pic:blipFill>
                    <a:blip r:embed="rId7"/>
                    <a:stretch>
                      <a:fillRect/>
                    </a:stretch>
                  </pic:blipFill>
                  <pic:spPr>
                    <a:xfrm>
                      <a:off x="0" y="0"/>
                      <a:ext cx="5911215" cy="8362950"/>
                    </a:xfrm>
                    <a:prstGeom prst="rect">
                      <a:avLst/>
                    </a:prstGeom>
                  </pic:spPr>
                </pic:pic>
              </a:graphicData>
            </a:graphic>
          </wp:inline>
        </w:drawing>
      </w:r>
    </w:p>
    <w:sectPr>
      <w:pgSz w:w="11906" w:h="16838"/>
      <w:pgMar w:top="1213" w:right="1293" w:bottom="1213" w:left="129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B0604020202020204"/>
    <w:charset w:val="86"/>
    <w:family w:val="script"/>
    <w:pitch w:val="default"/>
    <w:sig w:usb0="00000000" w:usb1="00000000" w:usb2="00000012" w:usb3="00000000" w:csb0="00040001" w:csb1="00000000"/>
  </w:font>
  <w:font w:name="FangSong_GB2312">
    <w:altName w:val="仿宋"/>
    <w:panose1 w:val="020B0604020202020204"/>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78DAB"/>
    <w:multiLevelType w:val="singleLevel"/>
    <w:tmpl w:val="91578DA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0NDhkYzMxNTMyOWM4NTI3OTJkOGM0OGIwMDg4N2YifQ=="/>
  </w:docVars>
  <w:rsids>
    <w:rsidRoot w:val="2DF34CCA"/>
    <w:rsid w:val="000D7234"/>
    <w:rsid w:val="00131ACC"/>
    <w:rsid w:val="002568F1"/>
    <w:rsid w:val="00A95655"/>
    <w:rsid w:val="00C46510"/>
    <w:rsid w:val="00CA6934"/>
    <w:rsid w:val="00CE1E54"/>
    <w:rsid w:val="00E61179"/>
    <w:rsid w:val="01FC6955"/>
    <w:rsid w:val="143D54B6"/>
    <w:rsid w:val="22C90428"/>
    <w:rsid w:val="285247BC"/>
    <w:rsid w:val="2DF34CCA"/>
    <w:rsid w:val="310053F1"/>
    <w:rsid w:val="3AF83CEA"/>
    <w:rsid w:val="50CD6FC3"/>
    <w:rsid w:val="63337CAC"/>
    <w:rsid w:val="63810703"/>
    <w:rsid w:val="78A4252F"/>
    <w:rsid w:val="7B127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
    <w:name w:val="Title"/>
    <w:basedOn w:val="1"/>
    <w:next w:val="1"/>
    <w:qFormat/>
    <w:uiPriority w:val="0"/>
    <w:pPr>
      <w:jc w:val="center"/>
      <w:outlineLvl w:val="0"/>
    </w:pPr>
    <w:rPr>
      <w:rFonts w:ascii="Arial" w:hAnsi="Arial"/>
      <w:b/>
      <w:sz w:val="32"/>
      <w:szCs w:val="3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7</Pages>
  <Words>672</Words>
  <Characters>3874</Characters>
  <Lines>117</Lines>
  <Paragraphs>77</Paragraphs>
  <TotalTime>15</TotalTime>
  <ScaleCrop>false</ScaleCrop>
  <LinksUpToDate>false</LinksUpToDate>
  <CharactersWithSpaces>4469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2022-02-07T06:06:00Z</dcterms:created>
  <dc:creator>张玮</dc:creator>
  <cp:lastModifiedBy>Administrator</cp:lastModifiedBy>
  <cp:lastPrinted>2022-01-20T08:49:00Z</cp:lastPrinted>
  <dcterms:modified xsi:type="dcterms:W3CDTF">2023-12-01T01:17:18Z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E2A9D06144D54C47BB71245FC0A844E4_13</vt:lpwstr>
  </property>
</Properties>
</file>