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spacing w:line="400" w:lineRule="exact"/>
        <w:jc w:val="center"/>
        <w:rPr>
          <w:rStyle w:val="10"/>
          <w:rFonts w:ascii="仿宋" w:hAnsi="仿宋" w:eastAsia="仿宋" w:cs="仿宋"/>
          <w:b/>
          <w:bCs/>
          <w:sz w:val="28"/>
          <w:szCs w:val="28"/>
        </w:rPr>
      </w:pPr>
      <w:r>
        <w:rPr>
          <w:rStyle w:val="10"/>
          <w:rFonts w:ascii="仿宋" w:hAnsi="仿宋" w:eastAsia="仿宋" w:cs="仿宋"/>
          <w:b/>
          <w:bCs/>
          <w:sz w:val="28"/>
          <w:szCs w:val="28"/>
        </w:rPr>
        <w:t>关于</w:t>
      </w:r>
      <w:r>
        <w:rPr>
          <w:rStyle w:val="10"/>
          <w:rFonts w:hint="eastAsia" w:ascii="仿宋" w:hAnsi="仿宋" w:eastAsia="仿宋" w:cs="仿宋"/>
          <w:b/>
          <w:bCs/>
          <w:sz w:val="28"/>
          <w:szCs w:val="28"/>
        </w:rPr>
        <w:t>电子鼻咽喉镜</w:t>
      </w:r>
      <w:r>
        <w:rPr>
          <w:rStyle w:val="10"/>
          <w:rFonts w:ascii="仿宋" w:hAnsi="仿宋" w:eastAsia="仿宋" w:cs="仿宋"/>
          <w:b/>
          <w:bCs/>
          <w:sz w:val="28"/>
          <w:szCs w:val="28"/>
        </w:rPr>
        <w:t>市场需求调查</w:t>
      </w:r>
    </w:p>
    <w:p>
      <w:pPr>
        <w:pageBreakBefore w:val="0"/>
        <w:kinsoku/>
        <w:wordWrap/>
        <w:overflowPunct/>
        <w:topLinePunct w:val="0"/>
        <w:autoSpaceDE/>
        <w:autoSpaceDN/>
        <w:bidi w:val="0"/>
        <w:spacing w:line="400" w:lineRule="exact"/>
        <w:jc w:val="center"/>
        <w:rPr>
          <w:rStyle w:val="10"/>
          <w:rFonts w:ascii="仿宋" w:hAnsi="仿宋" w:eastAsia="仿宋" w:cs="仿宋"/>
          <w:b/>
          <w:bCs/>
          <w:sz w:val="28"/>
          <w:szCs w:val="28"/>
        </w:rPr>
      </w:pPr>
      <w:r>
        <w:rPr>
          <w:rStyle w:val="10"/>
          <w:rFonts w:ascii="仿宋" w:hAnsi="仿宋" w:eastAsia="仿宋" w:cs="仿宋"/>
          <w:b/>
          <w:bCs/>
          <w:sz w:val="28"/>
          <w:szCs w:val="28"/>
        </w:rPr>
        <w:t>的报告</w:t>
      </w:r>
      <w:r>
        <w:rPr>
          <w:rStyle w:val="10"/>
          <w:rFonts w:hint="eastAsia" w:ascii="仿宋" w:hAnsi="仿宋" w:eastAsia="仿宋" w:cs="仿宋"/>
          <w:b/>
          <w:bCs/>
          <w:sz w:val="28"/>
          <w:szCs w:val="28"/>
        </w:rPr>
        <w:t>（进口产品）</w:t>
      </w:r>
    </w:p>
    <w:p>
      <w:pPr>
        <w:pageBreakBefore w:val="0"/>
        <w:kinsoku/>
        <w:wordWrap/>
        <w:overflowPunct/>
        <w:topLinePunct w:val="0"/>
        <w:autoSpaceDE/>
        <w:autoSpaceDN/>
        <w:bidi w:val="0"/>
        <w:spacing w:line="400" w:lineRule="exact"/>
        <w:ind w:firstLine="480" w:firstLineChars="200"/>
        <w:rPr>
          <w:rStyle w:val="10"/>
          <w:rFonts w:ascii="仿宋" w:hAnsi="仿宋" w:eastAsia="仿宋"/>
          <w:sz w:val="24"/>
          <w:szCs w:val="24"/>
        </w:rPr>
      </w:pPr>
    </w:p>
    <w:p>
      <w:pPr>
        <w:pageBreakBefore w:val="0"/>
        <w:kinsoku/>
        <w:wordWrap/>
        <w:overflowPunct/>
        <w:topLinePunct w:val="0"/>
        <w:autoSpaceDE/>
        <w:autoSpaceDN/>
        <w:bidi w:val="0"/>
        <w:spacing w:line="400" w:lineRule="exact"/>
        <w:ind w:firstLine="562" w:firstLineChars="200"/>
        <w:rPr>
          <w:rStyle w:val="10"/>
          <w:rFonts w:hint="eastAsia" w:ascii="仿宋" w:hAnsi="仿宋" w:eastAsia="仿宋" w:cs="仿宋"/>
          <w:sz w:val="28"/>
          <w:szCs w:val="28"/>
        </w:rPr>
      </w:pPr>
      <w:r>
        <w:rPr>
          <w:rFonts w:hint="eastAsia" w:ascii="仿宋" w:hAnsi="仿宋" w:eastAsia="仿宋" w:cs="仿宋"/>
          <w:b/>
          <w:bCs/>
          <w:sz w:val="28"/>
          <w:szCs w:val="28"/>
        </w:rPr>
        <w:t>一、采购项目基本情况</w:t>
      </w:r>
    </w:p>
    <w:p>
      <w:pPr>
        <w:pageBreakBefore w:val="0"/>
        <w:kinsoku/>
        <w:wordWrap/>
        <w:overflowPunct/>
        <w:topLinePunct w:val="0"/>
        <w:autoSpaceDE/>
        <w:autoSpaceDN/>
        <w:bidi w:val="0"/>
        <w:spacing w:line="400" w:lineRule="exact"/>
        <w:ind w:firstLine="480" w:firstLineChars="200"/>
        <w:rPr>
          <w:rStyle w:val="10"/>
          <w:rFonts w:ascii="仿宋" w:hAnsi="仿宋" w:eastAsia="仿宋"/>
          <w:color w:val="000000" w:themeColor="text1"/>
          <w:sz w:val="24"/>
          <w:szCs w:val="24"/>
          <w14:textFill>
            <w14:solidFill>
              <w14:schemeClr w14:val="tx1"/>
            </w14:solidFill>
          </w14:textFill>
        </w:rPr>
      </w:pPr>
      <w:r>
        <w:rPr>
          <w:rStyle w:val="10"/>
          <w:rFonts w:ascii="仿宋" w:hAnsi="仿宋" w:eastAsia="仿宋"/>
          <w:color w:val="000000" w:themeColor="text1"/>
          <w:sz w:val="24"/>
          <w:szCs w:val="24"/>
          <w14:textFill>
            <w14:solidFill>
              <w14:schemeClr w14:val="tx1"/>
            </w14:solidFill>
          </w14:textFill>
        </w:rPr>
        <w:t>我院</w:t>
      </w:r>
      <w:r>
        <w:rPr>
          <w:rStyle w:val="10"/>
          <w:rFonts w:hint="eastAsia" w:ascii="仿宋" w:hAnsi="仿宋" w:eastAsia="仿宋"/>
          <w:color w:val="000000" w:themeColor="text1"/>
          <w:sz w:val="24"/>
          <w:szCs w:val="24"/>
          <w14:textFill>
            <w14:solidFill>
              <w14:schemeClr w14:val="tx1"/>
            </w14:solidFill>
          </w14:textFill>
        </w:rPr>
        <w:t>耳鼻咽喉科是</w:t>
      </w:r>
      <w:r>
        <w:rPr>
          <w:rStyle w:val="10"/>
          <w:rFonts w:hint="eastAsia" w:ascii="仿宋" w:hAnsi="仿宋" w:eastAsia="仿宋"/>
          <w:color w:val="000000" w:themeColor="text1"/>
          <w:sz w:val="24"/>
          <w:szCs w:val="24"/>
          <w:lang w:val="en-US" w:eastAsia="zh-CN"/>
          <w14:textFill>
            <w14:solidFill>
              <w14:schemeClr w14:val="tx1"/>
            </w14:solidFill>
          </w14:textFill>
        </w:rPr>
        <w:t>省</w:t>
      </w:r>
      <w:r>
        <w:rPr>
          <w:rStyle w:val="10"/>
          <w:rFonts w:hint="eastAsia" w:ascii="仿宋" w:hAnsi="仿宋" w:eastAsia="仿宋"/>
          <w:color w:val="000000" w:themeColor="text1"/>
          <w:sz w:val="24"/>
          <w:szCs w:val="24"/>
          <w14:textFill>
            <w14:solidFill>
              <w14:schemeClr w14:val="tx1"/>
            </w14:solidFill>
          </w14:textFill>
        </w:rPr>
        <w:t>级耳鼻咽喉科住院医师规范化培训基地</w:t>
      </w:r>
      <w:r>
        <w:rPr>
          <w:rStyle w:val="10"/>
          <w:rFonts w:hint="eastAsia" w:ascii="仿宋" w:hAnsi="仿宋" w:eastAsia="仿宋"/>
          <w:color w:val="000000" w:themeColor="text1"/>
          <w:sz w:val="24"/>
          <w:szCs w:val="24"/>
          <w:lang w:eastAsia="zh-CN"/>
          <w14:textFill>
            <w14:solidFill>
              <w14:schemeClr w14:val="tx1"/>
            </w14:solidFill>
          </w14:textFill>
        </w:rPr>
        <w:t>，</w:t>
      </w:r>
      <w:r>
        <w:rPr>
          <w:rStyle w:val="10"/>
          <w:rFonts w:hint="eastAsia" w:ascii="仿宋" w:hAnsi="仿宋" w:eastAsia="仿宋"/>
          <w:color w:val="000000" w:themeColor="text1"/>
          <w:sz w:val="24"/>
          <w:szCs w:val="24"/>
          <w14:textFill>
            <w14:solidFill>
              <w14:schemeClr w14:val="tx1"/>
            </w14:solidFill>
          </w14:textFill>
        </w:rPr>
        <w:t>科室开放床位数</w:t>
      </w:r>
      <w:r>
        <w:rPr>
          <w:rStyle w:val="10"/>
          <w:rFonts w:hint="eastAsia" w:ascii="仿宋" w:hAnsi="仿宋" w:eastAsia="仿宋"/>
          <w:color w:val="000000" w:themeColor="text1"/>
          <w:sz w:val="24"/>
          <w:szCs w:val="24"/>
          <w:lang w:val="en-US" w:eastAsia="zh-CN"/>
          <w14:textFill>
            <w14:solidFill>
              <w14:schemeClr w14:val="tx1"/>
            </w14:solidFill>
          </w14:textFill>
        </w:rPr>
        <w:t>50</w:t>
      </w:r>
      <w:r>
        <w:rPr>
          <w:rStyle w:val="10"/>
          <w:rFonts w:hint="eastAsia" w:ascii="仿宋" w:hAnsi="仿宋" w:eastAsia="仿宋"/>
          <w:color w:val="000000" w:themeColor="text1"/>
          <w:sz w:val="24"/>
          <w:szCs w:val="24"/>
          <w14:textFill>
            <w14:solidFill>
              <w14:schemeClr w14:val="tx1"/>
            </w14:solidFill>
          </w14:textFill>
        </w:rPr>
        <w:t>张，年门诊量</w:t>
      </w:r>
      <w:r>
        <w:rPr>
          <w:rStyle w:val="10"/>
          <w:rFonts w:hint="eastAsia" w:ascii="仿宋" w:hAnsi="仿宋" w:eastAsia="仿宋"/>
          <w:color w:val="000000" w:themeColor="text1"/>
          <w:sz w:val="24"/>
          <w:szCs w:val="24"/>
          <w:lang w:val="en-US" w:eastAsia="zh-CN"/>
          <w14:textFill>
            <w14:solidFill>
              <w14:schemeClr w14:val="tx1"/>
            </w14:solidFill>
          </w14:textFill>
        </w:rPr>
        <w:t>4</w:t>
      </w:r>
      <w:r>
        <w:rPr>
          <w:rStyle w:val="10"/>
          <w:rFonts w:hint="eastAsia" w:ascii="仿宋" w:hAnsi="仿宋" w:eastAsia="仿宋"/>
          <w:color w:val="000000" w:themeColor="text1"/>
          <w:sz w:val="24"/>
          <w:szCs w:val="24"/>
          <w14:textFill>
            <w14:solidFill>
              <w14:schemeClr w14:val="tx1"/>
            </w14:solidFill>
          </w14:textFill>
        </w:rPr>
        <w:t>万人次，年手术超过</w:t>
      </w:r>
      <w:r>
        <w:rPr>
          <w:rStyle w:val="10"/>
          <w:rFonts w:hint="eastAsia" w:ascii="仿宋" w:hAnsi="仿宋" w:eastAsia="仿宋"/>
          <w:color w:val="000000" w:themeColor="text1"/>
          <w:sz w:val="24"/>
          <w:szCs w:val="24"/>
          <w:lang w:val="en-US" w:eastAsia="zh-CN"/>
          <w14:textFill>
            <w14:solidFill>
              <w14:schemeClr w14:val="tx1"/>
            </w14:solidFill>
          </w14:textFill>
        </w:rPr>
        <w:t>1000</w:t>
      </w:r>
      <w:r>
        <w:rPr>
          <w:rStyle w:val="10"/>
          <w:rFonts w:hint="eastAsia" w:ascii="仿宋" w:hAnsi="仿宋" w:eastAsia="仿宋"/>
          <w:color w:val="000000" w:themeColor="text1"/>
          <w:sz w:val="24"/>
          <w:szCs w:val="24"/>
          <w14:textFill>
            <w14:solidFill>
              <w14:schemeClr w14:val="tx1"/>
            </w14:solidFill>
          </w14:textFill>
        </w:rPr>
        <w:t>台，目前随着科室耳鼻喉咽疾病内镜检查患者量的增加，本科室现有配套的电子鼻咽喉镜</w:t>
      </w:r>
      <w:r>
        <w:rPr>
          <w:rStyle w:val="10"/>
          <w:rFonts w:hint="eastAsia" w:ascii="仿宋" w:hAnsi="仿宋" w:eastAsia="仿宋"/>
          <w:color w:val="000000" w:themeColor="text1"/>
          <w:sz w:val="24"/>
          <w:szCs w:val="24"/>
          <w:lang w:val="en-US" w:eastAsia="zh-CN"/>
          <w14:textFill>
            <w14:solidFill>
              <w14:schemeClr w14:val="tx1"/>
            </w14:solidFill>
          </w14:textFill>
        </w:rPr>
        <w:t>4台主机（东海2台、鲤城院区2台），每台主机配有1支检查镜、1支治疗镜，所配的镜子有的</w:t>
      </w:r>
      <w:r>
        <w:rPr>
          <w:rStyle w:val="10"/>
          <w:rFonts w:hint="eastAsia" w:ascii="仿宋" w:hAnsi="仿宋" w:eastAsia="仿宋"/>
          <w:color w:val="000000" w:themeColor="text1"/>
          <w:sz w:val="24"/>
          <w:szCs w:val="24"/>
          <w14:textFill>
            <w14:solidFill>
              <w14:schemeClr w14:val="tx1"/>
            </w14:solidFill>
          </w14:textFill>
        </w:rPr>
        <w:t>已</w:t>
      </w:r>
      <w:r>
        <w:rPr>
          <w:rStyle w:val="10"/>
          <w:rFonts w:hint="eastAsia" w:ascii="仿宋" w:hAnsi="仿宋" w:eastAsia="仿宋"/>
          <w:color w:val="000000" w:themeColor="text1"/>
          <w:sz w:val="24"/>
          <w:szCs w:val="24"/>
          <w:lang w:val="en-US" w:eastAsia="zh-CN"/>
          <w14:textFill>
            <w14:solidFill>
              <w14:schemeClr w14:val="tx1"/>
            </w14:solidFill>
          </w14:textFill>
        </w:rPr>
        <w:t>经快十年，故障率增加，且随着病人量增加，</w:t>
      </w:r>
      <w:r>
        <w:rPr>
          <w:rStyle w:val="10"/>
          <w:rFonts w:hint="eastAsia" w:ascii="仿宋" w:hAnsi="仿宋" w:eastAsia="仿宋"/>
          <w:color w:val="000000" w:themeColor="text1"/>
          <w:sz w:val="24"/>
          <w:szCs w:val="24"/>
          <w14:textFill>
            <w14:solidFill>
              <w14:schemeClr w14:val="tx1"/>
            </w14:solidFill>
          </w14:textFill>
        </w:rPr>
        <w:t>无法满足临床日常诊断工作需求，严重制约了科室内镜检查的</w:t>
      </w:r>
      <w:r>
        <w:rPr>
          <w:rStyle w:val="10"/>
          <w:rFonts w:hint="eastAsia" w:ascii="仿宋" w:hAnsi="仿宋" w:eastAsia="仿宋"/>
          <w:color w:val="000000" w:themeColor="text1"/>
          <w:sz w:val="24"/>
          <w:szCs w:val="24"/>
          <w:lang w:val="en-US" w:eastAsia="zh-CN"/>
          <w14:textFill>
            <w14:solidFill>
              <w14:schemeClr w14:val="tx1"/>
            </w14:solidFill>
          </w14:textFill>
        </w:rPr>
        <w:t>及技术</w:t>
      </w:r>
      <w:r>
        <w:rPr>
          <w:rStyle w:val="10"/>
          <w:rFonts w:hint="eastAsia" w:ascii="仿宋" w:hAnsi="仿宋" w:eastAsia="仿宋"/>
          <w:color w:val="000000" w:themeColor="text1"/>
          <w:sz w:val="24"/>
          <w:szCs w:val="24"/>
          <w14:textFill>
            <w14:solidFill>
              <w14:schemeClr w14:val="tx1"/>
            </w14:solidFill>
          </w14:textFill>
        </w:rPr>
        <w:t>发展，为了更好的满足临床患者对电子鼻咽喉镜检查的需求，故特此申请购置电子鼻咽喉镜</w:t>
      </w:r>
      <w:r>
        <w:rPr>
          <w:rStyle w:val="10"/>
          <w:rFonts w:hint="eastAsia" w:ascii="仿宋" w:hAnsi="仿宋" w:eastAsia="仿宋"/>
          <w:color w:val="000000" w:themeColor="text1"/>
          <w:sz w:val="24"/>
          <w:szCs w:val="24"/>
          <w:lang w:val="en-US" w:eastAsia="zh-CN"/>
          <w14:textFill>
            <w14:solidFill>
              <w14:schemeClr w14:val="tx1"/>
            </w14:solidFill>
          </w14:textFill>
        </w:rPr>
        <w:t>5条</w:t>
      </w:r>
      <w:r>
        <w:rPr>
          <w:rStyle w:val="10"/>
          <w:rFonts w:hint="eastAsia" w:ascii="仿宋" w:hAnsi="仿宋" w:eastAsia="仿宋"/>
          <w:color w:val="000000" w:themeColor="text1"/>
          <w:sz w:val="24"/>
          <w:szCs w:val="24"/>
          <w14:textFill>
            <w14:solidFill>
              <w14:schemeClr w14:val="tx1"/>
            </w14:solidFill>
          </w14:textFill>
        </w:rPr>
        <w:t>，采购用途主要用于：</w:t>
      </w:r>
      <w:r>
        <w:rPr>
          <w:rStyle w:val="10"/>
          <w:rFonts w:ascii="仿宋" w:hAnsi="仿宋" w:eastAsia="仿宋"/>
          <w:color w:val="000000" w:themeColor="text1"/>
          <w:sz w:val="24"/>
          <w:szCs w:val="24"/>
          <w14:textFill>
            <w14:solidFill>
              <w14:schemeClr w14:val="tx1"/>
            </w14:solidFill>
          </w14:textFill>
        </w:rPr>
        <w:t>声嘶</w:t>
      </w:r>
      <w:r>
        <w:rPr>
          <w:rStyle w:val="10"/>
          <w:rFonts w:hint="eastAsia" w:ascii="仿宋" w:hAnsi="仿宋" w:eastAsia="仿宋"/>
          <w:color w:val="000000" w:themeColor="text1"/>
          <w:sz w:val="24"/>
          <w:szCs w:val="24"/>
          <w14:textFill>
            <w14:solidFill>
              <w14:schemeClr w14:val="tx1"/>
            </w14:solidFill>
          </w14:textFill>
        </w:rPr>
        <w:t>、</w:t>
      </w:r>
      <w:r>
        <w:rPr>
          <w:rStyle w:val="10"/>
          <w:rFonts w:ascii="仿宋" w:hAnsi="仿宋" w:eastAsia="仿宋"/>
          <w:color w:val="000000" w:themeColor="text1"/>
          <w:sz w:val="24"/>
          <w:szCs w:val="24"/>
          <w14:textFill>
            <w14:solidFill>
              <w14:schemeClr w14:val="tx1"/>
            </w14:solidFill>
          </w14:textFill>
        </w:rPr>
        <w:t>咳痰带血者；回涕带血、耳鸣、听力下降者；鼻塞、流脓涕、头痛者；颈部淋巴结肿大、或呼吸有障碍者；疑鼻、咽、喉有异物者；颈部粗短、舌体肥大、间接喉镜检查有困难者；睡眠打鼾、长期用口呼吸者；防癌普查或寻找癌原发灶者；咽喉小良性肿瘤如（如小息肉、囊肿、乳头状瘤等）或小结需手术者。</w:t>
      </w:r>
      <w:r>
        <w:rPr>
          <w:rStyle w:val="10"/>
          <w:rFonts w:hint="eastAsia" w:ascii="仿宋" w:hAnsi="仿宋" w:eastAsia="仿宋"/>
          <w:color w:val="000000" w:themeColor="text1"/>
          <w:sz w:val="24"/>
          <w:szCs w:val="24"/>
          <w14:textFill>
            <w14:solidFill>
              <w14:schemeClr w14:val="tx1"/>
            </w14:solidFill>
          </w14:textFill>
        </w:rPr>
        <w:t>预算金额为</w:t>
      </w:r>
      <w:r>
        <w:rPr>
          <w:rStyle w:val="10"/>
          <w:rFonts w:hint="eastAsia" w:ascii="仿宋" w:hAnsi="仿宋" w:eastAsia="仿宋"/>
          <w:color w:val="000000" w:themeColor="text1"/>
          <w:sz w:val="24"/>
          <w:szCs w:val="24"/>
          <w:lang w:val="en-US" w:eastAsia="zh-CN"/>
          <w14:textFill>
            <w14:solidFill>
              <w14:schemeClr w14:val="tx1"/>
            </w14:solidFill>
          </w14:textFill>
        </w:rPr>
        <w:t>190</w:t>
      </w:r>
      <w:r>
        <w:rPr>
          <w:rStyle w:val="10"/>
          <w:rFonts w:hint="eastAsia" w:ascii="仿宋" w:hAnsi="仿宋" w:eastAsia="仿宋"/>
          <w:color w:val="000000" w:themeColor="text1"/>
          <w:sz w:val="24"/>
          <w:szCs w:val="24"/>
          <w14:textFill>
            <w14:solidFill>
              <w14:schemeClr w14:val="tx1"/>
            </w14:solidFill>
          </w14:textFill>
        </w:rPr>
        <w:t>万元</w:t>
      </w:r>
      <w:r>
        <w:rPr>
          <w:rStyle w:val="10"/>
          <w:rFonts w:hint="eastAsia" w:ascii="仿宋" w:hAnsi="仿宋" w:eastAsia="仿宋"/>
          <w:color w:val="000000" w:themeColor="text1"/>
          <w:sz w:val="24"/>
          <w:szCs w:val="24"/>
          <w:lang w:eastAsia="zh-CN"/>
          <w14:textFill>
            <w14:solidFill>
              <w14:schemeClr w14:val="tx1"/>
            </w14:solidFill>
          </w14:textFill>
        </w:rPr>
        <w:t>，</w:t>
      </w:r>
      <w:r>
        <w:rPr>
          <w:rStyle w:val="10"/>
          <w:rFonts w:hint="eastAsia" w:ascii="仿宋" w:hAnsi="仿宋" w:eastAsia="仿宋"/>
          <w:color w:val="000000" w:themeColor="text1"/>
          <w:sz w:val="24"/>
          <w:szCs w:val="24"/>
          <w14:textFill>
            <w14:solidFill>
              <w14:schemeClr w14:val="tx1"/>
            </w14:solidFill>
          </w14:textFill>
        </w:rPr>
        <w:t>资金来源</w:t>
      </w:r>
      <w:r>
        <w:rPr>
          <w:rStyle w:val="10"/>
          <w:rFonts w:hint="eastAsia" w:ascii="仿宋" w:hAnsi="仿宋" w:eastAsia="仿宋"/>
          <w:color w:val="000000" w:themeColor="text1"/>
          <w:sz w:val="24"/>
          <w:szCs w:val="24"/>
          <w:lang w:val="en-US" w:eastAsia="zh-CN"/>
          <w14:textFill>
            <w14:solidFill>
              <w14:schemeClr w14:val="tx1"/>
            </w14:solidFill>
          </w14:textFill>
        </w:rPr>
        <w:t>由医院自筹。</w:t>
      </w:r>
    </w:p>
    <w:p>
      <w:pPr>
        <w:pageBreakBefore w:val="0"/>
        <w:numPr>
          <w:ilvl w:val="0"/>
          <w:numId w:val="1"/>
        </w:numPr>
        <w:kinsoku/>
        <w:wordWrap/>
        <w:overflowPunct/>
        <w:topLinePunct w:val="0"/>
        <w:autoSpaceDE/>
        <w:autoSpaceDN/>
        <w:bidi w:val="0"/>
        <w:spacing w:line="400" w:lineRule="exact"/>
        <w:ind w:firstLine="562" w:firstLineChars="200"/>
        <w:rPr>
          <w:rStyle w:val="10"/>
          <w:rFonts w:hint="eastAsia" w:ascii="仿宋" w:hAnsi="仿宋" w:eastAsia="仿宋"/>
          <w:b/>
          <w:bCs/>
          <w:sz w:val="28"/>
          <w:szCs w:val="28"/>
          <w:lang w:val="en-US" w:eastAsia="zh-CN"/>
        </w:rPr>
      </w:pPr>
      <w:r>
        <w:rPr>
          <w:rStyle w:val="10"/>
          <w:rFonts w:ascii="仿宋" w:hAnsi="仿宋" w:eastAsia="仿宋"/>
          <w:b/>
          <w:bCs/>
          <w:sz w:val="28"/>
          <w:szCs w:val="28"/>
        </w:rPr>
        <w:t>采购需求</w:t>
      </w:r>
      <w:r>
        <w:rPr>
          <w:rStyle w:val="10"/>
          <w:rFonts w:hint="eastAsia" w:ascii="仿宋" w:hAnsi="仿宋" w:eastAsia="仿宋"/>
          <w:b/>
          <w:bCs/>
          <w:sz w:val="28"/>
          <w:szCs w:val="28"/>
          <w:lang w:val="en-US" w:eastAsia="zh-CN"/>
        </w:rPr>
        <w:t>调查</w:t>
      </w:r>
    </w:p>
    <w:p>
      <w:pPr>
        <w:pageBreakBefore w:val="0"/>
        <w:numPr>
          <w:ilvl w:val="0"/>
          <w:numId w:val="0"/>
        </w:numPr>
        <w:kinsoku/>
        <w:wordWrap/>
        <w:overflowPunct/>
        <w:topLinePunct w:val="0"/>
        <w:autoSpaceDE/>
        <w:autoSpaceDN/>
        <w:bidi w:val="0"/>
        <w:spacing w:line="400" w:lineRule="exact"/>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1、单位采购项目需求及标准</w:t>
      </w:r>
    </w:p>
    <w:p>
      <w:pPr>
        <w:pStyle w:val="9"/>
        <w:pageBreakBefore w:val="0"/>
        <w:numPr>
          <w:ilvl w:val="0"/>
          <w:numId w:val="0"/>
        </w:numPr>
        <w:kinsoku/>
        <w:wordWrap/>
        <w:overflowPunct/>
        <w:topLinePunct w:val="0"/>
        <w:autoSpaceDE/>
        <w:autoSpaceDN/>
        <w:bidi w:val="0"/>
        <w:spacing w:line="40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通过慎重研究和调研，科室从日常工作需求出发本次拟采购的</w:t>
      </w:r>
      <w:r>
        <w:rPr>
          <w:rFonts w:hint="eastAsia" w:ascii="仿宋" w:hAnsi="仿宋" w:eastAsia="仿宋" w:cs="仿宋"/>
          <w:sz w:val="24"/>
          <w:szCs w:val="24"/>
          <w:lang w:val="en-US" w:eastAsia="zh-CN"/>
        </w:rPr>
        <w:t>电子鼻咽喉镜需具备以下技术标准：</w:t>
      </w:r>
    </w:p>
    <w:p>
      <w:pPr>
        <w:pStyle w:val="9"/>
        <w:pageBreakBefore w:val="0"/>
        <w:numPr>
          <w:ilvl w:val="0"/>
          <w:numId w:val="0"/>
        </w:numPr>
        <w:kinsoku/>
        <w:wordWrap/>
        <w:overflowPunct/>
        <w:topLinePunct w:val="0"/>
        <w:autoSpaceDE/>
        <w:autoSpaceDN/>
        <w:bidi w:val="0"/>
        <w:spacing w:line="400" w:lineRule="exact"/>
        <w:rPr>
          <w:rFonts w:hint="eastAsia" w:ascii="仿宋" w:hAnsi="仿宋" w:eastAsia="仿宋" w:cs="仿宋"/>
          <w:sz w:val="24"/>
          <w:szCs w:val="24"/>
          <w:lang w:eastAsia="zh-CN"/>
        </w:rPr>
      </w:pPr>
      <w:r>
        <w:rPr>
          <w:rStyle w:val="10"/>
          <w:rFonts w:ascii="仿宋" w:hAnsi="仿宋" w:eastAsia="仿宋"/>
          <w:color w:val="000000" w:themeColor="text1"/>
          <w:kern w:val="0"/>
          <w:sz w:val="24"/>
          <w:szCs w:val="24"/>
          <w14:textFill>
            <w14:solidFill>
              <w14:schemeClr w14:val="tx1"/>
            </w14:solidFill>
          </w14:textFill>
        </w:rPr>
        <w:t>（</w:t>
      </w:r>
      <w:r>
        <w:rPr>
          <w:rStyle w:val="10"/>
          <w:rFonts w:hint="eastAsia" w:ascii="仿宋" w:hAnsi="仿宋" w:eastAsia="仿宋"/>
          <w:color w:val="000000" w:themeColor="text1"/>
          <w:kern w:val="0"/>
          <w:sz w:val="24"/>
          <w:szCs w:val="24"/>
          <w14:textFill>
            <w14:solidFill>
              <w14:schemeClr w14:val="tx1"/>
            </w14:solidFill>
          </w14:textFill>
        </w:rPr>
        <w:t>1</w:t>
      </w:r>
      <w:r>
        <w:rPr>
          <w:rStyle w:val="10"/>
          <w:rFonts w:ascii="仿宋" w:hAnsi="仿宋" w:eastAsia="仿宋"/>
          <w:color w:val="000000" w:themeColor="text1"/>
          <w:kern w:val="0"/>
          <w:sz w:val="24"/>
          <w:szCs w:val="24"/>
          <w14:textFill>
            <w14:solidFill>
              <w14:schemeClr w14:val="tx1"/>
            </w14:solidFill>
          </w14:textFill>
        </w:rPr>
        <w:t>）</w:t>
      </w:r>
      <w:r>
        <w:rPr>
          <w:rStyle w:val="10"/>
          <w:rFonts w:hint="eastAsia" w:ascii="仿宋" w:hAnsi="仿宋" w:eastAsia="仿宋"/>
          <w:color w:val="000000" w:themeColor="text1"/>
          <w:kern w:val="0"/>
          <w:sz w:val="24"/>
          <w:szCs w:val="24"/>
          <w:lang w:val="en-US" w:eastAsia="zh-CN"/>
          <w14:textFill>
            <w14:solidFill>
              <w14:schemeClr w14:val="tx1"/>
            </w14:solidFill>
          </w14:textFill>
        </w:rPr>
        <w:t>具有窄带成像技术</w:t>
      </w:r>
      <w:r>
        <w:rPr>
          <w:rFonts w:hint="eastAsia" w:ascii="仿宋" w:hAnsi="仿宋" w:eastAsia="仿宋" w:cs="仿宋"/>
          <w:sz w:val="24"/>
          <w:szCs w:val="24"/>
        </w:rPr>
        <w:t>可通</w:t>
      </w:r>
      <w:r>
        <w:rPr>
          <w:rFonts w:hint="eastAsia" w:ascii="仿宋" w:hAnsi="仿宋" w:eastAsia="仿宋" w:cs="仿宋"/>
          <w:kern w:val="28"/>
          <w:sz w:val="24"/>
          <w:szCs w:val="24"/>
          <w:lang w:val="en-US" w:eastAsia="zh-CN" w:bidi="ar-SA"/>
        </w:rPr>
        <w:t>过光学物理原理。</w:t>
      </w:r>
      <w:r>
        <w:rPr>
          <w:rFonts w:hint="eastAsia" w:ascii="仿宋" w:hAnsi="仿宋" w:eastAsia="仿宋" w:cs="仿宋"/>
          <w:sz w:val="24"/>
          <w:szCs w:val="24"/>
        </w:rPr>
        <w:t>利用主机上的滤光片过滤内镜光源发出的红蓝绿光波中的宽带光谱仅留下窄带光谱进行内镜特殊光观察</w:t>
      </w:r>
      <w:r>
        <w:rPr>
          <w:rFonts w:hint="eastAsia" w:ascii="仿宋" w:hAnsi="仿宋" w:eastAsia="仿宋" w:cs="仿宋"/>
          <w:sz w:val="24"/>
          <w:szCs w:val="24"/>
          <w:lang w:eastAsia="zh-CN"/>
        </w:rPr>
        <w:t>，</w:t>
      </w:r>
      <w:r>
        <w:rPr>
          <w:rFonts w:hint="eastAsia" w:ascii="仿宋" w:hAnsi="仿宋" w:eastAsia="仿宋" w:cs="仿宋"/>
          <w:i w:val="0"/>
          <w:iCs w:val="0"/>
          <w:caps w:val="0"/>
          <w:color w:val="auto"/>
          <w:spacing w:val="0"/>
          <w:sz w:val="24"/>
          <w:szCs w:val="24"/>
          <w:shd w:val="clear" w:fill="FFFFFF"/>
          <w:lang w:val="en-US" w:eastAsia="zh-CN"/>
        </w:rPr>
        <w:t>能够更清晰的看到粘膜的表面微结构包括微血管、微腺管，使内镜检查时对粘膜微结构形态显示得更加清楚，帮助医生准确、迅速地发现病灶，提高活检的准确率， 提升了对早期肿瘤的诊疗能力，使患者得到及时准确的诊断和治疗。</w:t>
      </w:r>
      <w:r>
        <w:rPr>
          <w:rFonts w:hint="eastAsia" w:ascii="仿宋" w:hAnsi="仿宋" w:eastAsia="仿宋" w:cs="仿宋"/>
          <w:kern w:val="28"/>
          <w:sz w:val="24"/>
          <w:szCs w:val="24"/>
          <w:lang w:val="en-US" w:eastAsia="zh-CN" w:bidi="ar-SA"/>
        </w:rPr>
        <w:t xml:space="preserve"> </w:t>
      </w:r>
    </w:p>
    <w:p>
      <w:pPr>
        <w:pageBreakBefore w:val="0"/>
        <w:kinsoku/>
        <w:wordWrap/>
        <w:overflowPunct/>
        <w:topLinePunct w:val="0"/>
        <w:autoSpaceDE/>
        <w:autoSpaceDN/>
        <w:bidi w:val="0"/>
        <w:spacing w:line="400" w:lineRule="exact"/>
        <w:rPr>
          <w:rStyle w:val="10"/>
          <w:rFonts w:hint="eastAsia" w:ascii="仿宋" w:hAnsi="仿宋" w:eastAsia="仿宋"/>
          <w:color w:val="000000" w:themeColor="text1"/>
          <w:kern w:val="0"/>
          <w:sz w:val="24"/>
          <w:szCs w:val="24"/>
          <w:lang w:eastAsia="zh-CN"/>
          <w14:textFill>
            <w14:solidFill>
              <w14:schemeClr w14:val="tx1"/>
            </w14:solidFill>
          </w14:textFill>
        </w:rPr>
      </w:pPr>
      <w:r>
        <w:rPr>
          <w:rStyle w:val="10"/>
          <w:rFonts w:hint="eastAsia" w:ascii="仿宋" w:hAnsi="仿宋" w:eastAsia="仿宋"/>
          <w:color w:val="000000" w:themeColor="text1"/>
          <w:kern w:val="0"/>
          <w:sz w:val="24"/>
          <w:szCs w:val="24"/>
          <w14:textFill>
            <w14:solidFill>
              <w14:schemeClr w14:val="tx1"/>
            </w14:solidFill>
          </w14:textFill>
        </w:rPr>
        <w:t>（2）</w:t>
      </w:r>
      <w:r>
        <w:rPr>
          <w:rStyle w:val="10"/>
          <w:rFonts w:hint="eastAsia" w:ascii="仿宋" w:hAnsi="仿宋" w:eastAsia="仿宋"/>
          <w:sz w:val="24"/>
          <w:szCs w:val="24"/>
          <w:lang w:val="en-US" w:eastAsia="zh-CN"/>
        </w:rPr>
        <w:t>镜子</w:t>
      </w:r>
      <w:r>
        <w:rPr>
          <w:rFonts w:hint="eastAsia" w:ascii="仿宋" w:hAnsi="仿宋" w:eastAsia="仿宋" w:cs="仿宋"/>
          <w:sz w:val="24"/>
          <w:szCs w:val="24"/>
        </w:rPr>
        <w:t>具有高分辨率成像功能：水平分辨率≥1080线，为</w:t>
      </w:r>
      <w:r>
        <w:rPr>
          <w:rFonts w:hint="eastAsia" w:ascii="仿宋" w:hAnsi="仿宋" w:eastAsia="仿宋" w:cs="仿宋"/>
          <w:kern w:val="28"/>
          <w:sz w:val="24"/>
          <w:szCs w:val="24"/>
          <w:lang w:val="en-US" w:eastAsia="zh-CN" w:bidi="ar-SA"/>
        </w:rPr>
        <w:t>内窥镜</w:t>
      </w:r>
      <w:r>
        <w:rPr>
          <w:rFonts w:hint="eastAsia" w:ascii="仿宋" w:hAnsi="仿宋" w:eastAsia="仿宋" w:cs="仿宋"/>
          <w:sz w:val="24"/>
          <w:szCs w:val="24"/>
          <w:lang w:val="en-US" w:eastAsia="zh-CN"/>
        </w:rPr>
        <w:t>检查</w:t>
      </w:r>
      <w:r>
        <w:rPr>
          <w:rFonts w:hint="eastAsia" w:ascii="仿宋" w:hAnsi="仿宋" w:eastAsia="仿宋" w:cs="仿宋"/>
          <w:sz w:val="24"/>
          <w:szCs w:val="24"/>
        </w:rPr>
        <w:t>提供高清晰图像</w:t>
      </w:r>
      <w:r>
        <w:rPr>
          <w:rFonts w:hint="eastAsia" w:ascii="仿宋" w:hAnsi="仿宋" w:eastAsia="仿宋" w:cs="仿宋"/>
          <w:sz w:val="24"/>
          <w:szCs w:val="24"/>
          <w:lang w:eastAsia="zh-CN"/>
        </w:rPr>
        <w:t>。</w:t>
      </w:r>
    </w:p>
    <w:p>
      <w:pPr>
        <w:pStyle w:val="9"/>
        <w:pageBreakBefore w:val="0"/>
        <w:numPr>
          <w:ilvl w:val="0"/>
          <w:numId w:val="0"/>
        </w:numPr>
        <w:kinsoku/>
        <w:wordWrap/>
        <w:overflowPunct/>
        <w:topLinePunct w:val="0"/>
        <w:autoSpaceDE/>
        <w:autoSpaceDN/>
        <w:bidi w:val="0"/>
        <w:spacing w:line="400" w:lineRule="exact"/>
        <w:rPr>
          <w:rFonts w:hint="eastAsia" w:ascii="仿宋" w:hAnsi="仿宋" w:eastAsia="仿宋" w:cs="仿宋"/>
          <w:sz w:val="24"/>
          <w:szCs w:val="24"/>
          <w:lang w:val="en-US" w:eastAsia="zh-CN"/>
        </w:rPr>
      </w:pPr>
      <w:r>
        <w:rPr>
          <w:rFonts w:hint="eastAsia" w:ascii="仿宋" w:hAnsi="仿宋" w:eastAsia="仿宋" w:cs="仿宋"/>
          <w:sz w:val="24"/>
          <w:szCs w:val="24"/>
        </w:rPr>
        <w:t>（3）</w:t>
      </w:r>
      <w:r>
        <w:rPr>
          <w:rFonts w:hint="eastAsia" w:ascii="仿宋" w:hAnsi="仿宋" w:eastAsia="仿宋" w:cs="仿宋"/>
          <w:sz w:val="24"/>
          <w:szCs w:val="24"/>
          <w:lang w:val="en-US" w:eastAsia="zh-CN"/>
        </w:rPr>
        <w:t>能兼容频闪光源，实现软镜下的频闪喉镜检查。可对病变进行观察和诊断。</w:t>
      </w:r>
    </w:p>
    <w:p>
      <w:pPr>
        <w:pStyle w:val="9"/>
        <w:pageBreakBefore w:val="0"/>
        <w:numPr>
          <w:ilvl w:val="0"/>
          <w:numId w:val="0"/>
        </w:numPr>
        <w:kinsoku/>
        <w:wordWrap/>
        <w:overflowPunct/>
        <w:topLinePunct w:val="0"/>
        <w:autoSpaceDE/>
        <w:autoSpaceDN/>
        <w:bidi w:val="0"/>
        <w:spacing w:line="400" w:lineRule="exact"/>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可与科室现有主机相匹配使用。</w:t>
      </w:r>
    </w:p>
    <w:p>
      <w:pPr>
        <w:pStyle w:val="9"/>
        <w:pageBreakBefore w:val="0"/>
        <w:numPr>
          <w:ilvl w:val="0"/>
          <w:numId w:val="0"/>
        </w:numPr>
        <w:kinsoku/>
        <w:wordWrap/>
        <w:overflowPunct/>
        <w:topLinePunct w:val="0"/>
        <w:autoSpaceDE/>
        <w:autoSpaceDN/>
        <w:bidi w:val="0"/>
        <w:spacing w:line="40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（5）先端</w:t>
      </w:r>
      <w:r>
        <w:rPr>
          <w:rFonts w:hint="eastAsia" w:ascii="仿宋" w:hAnsi="仿宋" w:eastAsia="仿宋" w:cs="仿宋"/>
          <w:sz w:val="24"/>
          <w:szCs w:val="24"/>
        </w:rPr>
        <w:t>部外径≤ Ф2.6mm</w:t>
      </w:r>
      <w:r>
        <w:rPr>
          <w:rFonts w:hint="eastAsia" w:ascii="仿宋" w:hAnsi="仿宋" w:eastAsia="仿宋" w:cs="仿宋"/>
          <w:sz w:val="24"/>
          <w:szCs w:val="24"/>
          <w:lang w:eastAsia="zh-CN"/>
        </w:rPr>
        <w:t>。先端部外径的越小给病人做检查时候病人的敏感度越低有助于病人配合，特别是儿童患者，病人的难受程度越低，有助于提高检查的舒适度。</w:t>
      </w:r>
    </w:p>
    <w:p>
      <w:pPr>
        <w:pageBreakBefore w:val="0"/>
        <w:numPr>
          <w:ilvl w:val="0"/>
          <w:numId w:val="2"/>
        </w:numPr>
        <w:shd w:val="clear" w:color="auto" w:fill="FFFFFF"/>
        <w:kinsoku/>
        <w:wordWrap/>
        <w:overflowPunct/>
        <w:topLinePunct w:val="0"/>
        <w:autoSpaceDE/>
        <w:autoSpaceDN/>
        <w:bidi w:val="0"/>
        <w:snapToGrid w:val="0"/>
        <w:spacing w:line="400" w:lineRule="exact"/>
        <w:ind w:firstLine="482" w:firstLineChars="200"/>
        <w:rPr>
          <w:rFonts w:hint="eastAsia" w:ascii="宋体" w:hAnsi="宋体" w:eastAsia="宋体" w:cs="宋体"/>
          <w:b/>
          <w:bCs/>
          <w:sz w:val="24"/>
          <w:szCs w:val="24"/>
        </w:rPr>
      </w:pPr>
      <w:r>
        <w:rPr>
          <w:rFonts w:hint="eastAsia" w:ascii="仿宋" w:hAnsi="仿宋" w:eastAsia="仿宋" w:cs="仿宋"/>
          <w:b/>
          <w:bCs/>
          <w:sz w:val="24"/>
          <w:szCs w:val="24"/>
        </w:rPr>
        <w:t>采购项目国内产业发展、市场供给、历史成交情况、升级更新、备品备件、耗材等情况。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国内产业发展</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我国电子鼻咽喉镜技术起步略晚，技术上有较大壁垒。</w:t>
      </w:r>
      <w:r>
        <w:rPr>
          <w:rFonts w:hint="eastAsia" w:ascii="仿宋" w:hAnsi="仿宋" w:eastAsia="仿宋" w:cs="仿宋"/>
          <w:sz w:val="24"/>
          <w:szCs w:val="24"/>
        </w:rPr>
        <w:t>国产的电子鼻咽喉镜目前市场上没有具有窄带成像检查的同类产品，只有普通电子鼻咽喉镜设备，无论从图像质量产品耐用度上还是窄带成像功能上都无法满足临床使用需求。</w:t>
      </w:r>
      <w:r>
        <w:rPr>
          <w:rFonts w:hint="eastAsia" w:ascii="仿宋" w:hAnsi="仿宋" w:eastAsia="仿宋" w:cs="仿宋"/>
          <w:sz w:val="24"/>
          <w:szCs w:val="24"/>
          <w:lang w:val="en-US" w:eastAsia="zh-CN"/>
        </w:rPr>
        <w:t xml:space="preserve">              </w:t>
      </w:r>
    </w:p>
    <w:p>
      <w:pPr>
        <w:pStyle w:val="9"/>
        <w:pageBreakBefore w:val="0"/>
        <w:numPr>
          <w:ilvl w:val="0"/>
          <w:numId w:val="0"/>
        </w:numPr>
        <w:kinsoku/>
        <w:wordWrap/>
        <w:overflowPunct/>
        <w:topLinePunct w:val="0"/>
        <w:autoSpaceDE/>
        <w:autoSpaceDN/>
        <w:bidi w:val="0"/>
        <w:spacing w:line="400" w:lineRule="exact"/>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b w:val="0"/>
          <w:bCs w:val="0"/>
          <w:sz w:val="24"/>
          <w:szCs w:val="24"/>
        </w:rPr>
        <w:t>进</w:t>
      </w:r>
      <w:r>
        <w:rPr>
          <w:rFonts w:hint="eastAsia" w:ascii="仿宋" w:hAnsi="仿宋" w:eastAsia="仿宋" w:cs="仿宋"/>
          <w:i w:val="0"/>
          <w:iCs w:val="0"/>
          <w:caps w:val="0"/>
          <w:color w:val="auto"/>
          <w:spacing w:val="0"/>
          <w:sz w:val="24"/>
          <w:szCs w:val="24"/>
          <w:shd w:val="clear" w:fill="FFFFFF"/>
          <w:lang w:val="en-US" w:eastAsia="zh-CN"/>
        </w:rPr>
        <w:t>口产品目前主要是日本的奥林巴斯、宾得和德国的艾克松三大品牌，国内外份额上均占很大优势地位。</w:t>
      </w:r>
    </w:p>
    <w:tbl>
      <w:tblPr>
        <w:tblStyle w:val="6"/>
        <w:tblW w:w="13390" w:type="dxa"/>
        <w:tblInd w:w="118" w:type="dxa"/>
        <w:tblLayout w:type="fixed"/>
        <w:tblCellMar>
          <w:top w:w="0" w:type="dxa"/>
          <w:left w:w="108" w:type="dxa"/>
          <w:bottom w:w="0" w:type="dxa"/>
          <w:right w:w="108" w:type="dxa"/>
        </w:tblCellMar>
      </w:tblPr>
      <w:tblGrid>
        <w:gridCol w:w="805"/>
        <w:gridCol w:w="3000"/>
        <w:gridCol w:w="2745"/>
        <w:gridCol w:w="1605"/>
        <w:gridCol w:w="1980"/>
        <w:gridCol w:w="3255"/>
      </w:tblGrid>
      <w:tr>
        <w:tblPrEx>
          <w:tblCellMar>
            <w:top w:w="0" w:type="dxa"/>
            <w:left w:w="108" w:type="dxa"/>
            <w:bottom w:w="0" w:type="dxa"/>
            <w:right w:w="108" w:type="dxa"/>
          </w:tblCellMar>
        </w:tblPrEx>
        <w:trPr>
          <w:trHeight w:val="1798" w:hRule="atLeast"/>
        </w:trPr>
        <w:tc>
          <w:tcPr>
            <w:tcW w:w="805" w:type="dxa"/>
            <w:tcBorders>
              <w:top w:val="single" w:color="auto" w:sz="8" w:space="0"/>
              <w:left w:val="single" w:color="auto" w:sz="8" w:space="0"/>
              <w:bottom w:val="single" w:color="auto" w:sz="8" w:space="0"/>
              <w:right w:val="single" w:color="auto" w:sz="8" w:space="0"/>
            </w:tcBorders>
            <w:shd w:val="clear" w:color="auto" w:fill="auto"/>
            <w:vAlign w:val="center"/>
          </w:tcPr>
          <w:p>
            <w:pPr>
              <w:pageBreakBefore w:val="0"/>
              <w:kinsoku/>
              <w:wordWrap/>
              <w:overflowPunct/>
              <w:topLinePunct w:val="0"/>
              <w:autoSpaceDE/>
              <w:autoSpaceDN/>
              <w:bidi w:val="0"/>
              <w:spacing w:line="40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序号</w:t>
            </w:r>
          </w:p>
        </w:tc>
        <w:tc>
          <w:tcPr>
            <w:tcW w:w="3000" w:type="dxa"/>
            <w:tcBorders>
              <w:top w:val="single" w:color="auto" w:sz="8" w:space="0"/>
              <w:left w:val="nil"/>
              <w:bottom w:val="single" w:color="auto" w:sz="8" w:space="0"/>
              <w:right w:val="single" w:color="auto" w:sz="8" w:space="0"/>
            </w:tcBorders>
            <w:shd w:val="clear" w:color="auto" w:fill="auto"/>
            <w:vAlign w:val="center"/>
          </w:tcPr>
          <w:p>
            <w:pPr>
              <w:pageBreakBefore w:val="0"/>
              <w:kinsoku/>
              <w:wordWrap/>
              <w:overflowPunct/>
              <w:topLinePunct w:val="0"/>
              <w:autoSpaceDE/>
              <w:autoSpaceDN/>
              <w:bidi w:val="0"/>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项目名称</w:t>
            </w:r>
          </w:p>
        </w:tc>
        <w:tc>
          <w:tcPr>
            <w:tcW w:w="2745" w:type="dxa"/>
            <w:tcBorders>
              <w:top w:val="single" w:color="auto" w:sz="8" w:space="0"/>
              <w:left w:val="nil"/>
              <w:bottom w:val="single" w:color="auto" w:sz="8"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采购人名称</w:t>
            </w:r>
          </w:p>
        </w:tc>
        <w:tc>
          <w:tcPr>
            <w:tcW w:w="1605" w:type="dxa"/>
            <w:tcBorders>
              <w:top w:val="single" w:color="auto" w:sz="8" w:space="0"/>
              <w:left w:val="single" w:color="auto" w:sz="4" w:space="0"/>
              <w:bottom w:val="single" w:color="auto" w:sz="8"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公示时间</w:t>
            </w:r>
          </w:p>
        </w:tc>
        <w:tc>
          <w:tcPr>
            <w:tcW w:w="1980" w:type="dxa"/>
            <w:tcBorders>
              <w:top w:val="single" w:color="auto" w:sz="8" w:space="0"/>
              <w:left w:val="single" w:color="auto" w:sz="4" w:space="0"/>
              <w:bottom w:val="single" w:color="auto" w:sz="8" w:space="0"/>
              <w:right w:val="single" w:color="auto" w:sz="8" w:space="0"/>
            </w:tcBorders>
            <w:shd w:val="clear" w:color="auto" w:fill="auto"/>
            <w:vAlign w:val="center"/>
          </w:tcPr>
          <w:p>
            <w:pPr>
              <w:pageBreakBefore w:val="0"/>
              <w:kinsoku/>
              <w:wordWrap/>
              <w:overflowPunct/>
              <w:topLinePunct w:val="0"/>
              <w:autoSpaceDE/>
              <w:autoSpaceDN/>
              <w:bidi w:val="0"/>
              <w:spacing w:line="40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价格（元）</w:t>
            </w:r>
          </w:p>
        </w:tc>
        <w:tc>
          <w:tcPr>
            <w:tcW w:w="3255" w:type="dxa"/>
            <w:tcBorders>
              <w:top w:val="single" w:color="auto" w:sz="8" w:space="0"/>
              <w:left w:val="nil"/>
              <w:bottom w:val="single" w:color="auto" w:sz="8" w:space="0"/>
              <w:right w:val="single" w:color="auto" w:sz="8" w:space="0"/>
            </w:tcBorders>
            <w:shd w:val="clear" w:color="auto" w:fill="auto"/>
            <w:vAlign w:val="center"/>
          </w:tcPr>
          <w:p>
            <w:pPr>
              <w:pageBreakBefore w:val="0"/>
              <w:kinsoku/>
              <w:wordWrap/>
              <w:overflowPunct/>
              <w:topLinePunct w:val="0"/>
              <w:autoSpaceDE/>
              <w:autoSpaceDN/>
              <w:bidi w:val="0"/>
              <w:spacing w:line="400" w:lineRule="exact"/>
              <w:ind w:firstLine="240" w:firstLineChars="100"/>
              <w:rPr>
                <w:rFonts w:hint="eastAsia" w:ascii="仿宋" w:hAnsi="仿宋" w:eastAsia="仿宋" w:cs="仿宋"/>
                <w:color w:val="000000"/>
                <w:sz w:val="24"/>
                <w:szCs w:val="24"/>
              </w:rPr>
            </w:pPr>
            <w:r>
              <w:rPr>
                <w:rFonts w:hint="eastAsia" w:ascii="仿宋" w:hAnsi="仿宋" w:eastAsia="仿宋" w:cs="仿宋"/>
                <w:color w:val="000000"/>
                <w:sz w:val="24"/>
                <w:szCs w:val="24"/>
              </w:rPr>
              <w:t>网址</w:t>
            </w:r>
          </w:p>
        </w:tc>
      </w:tr>
      <w:tr>
        <w:tblPrEx>
          <w:tblCellMar>
            <w:top w:w="0" w:type="dxa"/>
            <w:left w:w="108" w:type="dxa"/>
            <w:bottom w:w="0" w:type="dxa"/>
            <w:right w:w="108" w:type="dxa"/>
          </w:tblCellMar>
        </w:tblPrEx>
        <w:trPr>
          <w:trHeight w:val="1020" w:hRule="atLeast"/>
        </w:trPr>
        <w:tc>
          <w:tcPr>
            <w:tcW w:w="805" w:type="dxa"/>
            <w:vMerge w:val="restart"/>
            <w:tcBorders>
              <w:top w:val="nil"/>
              <w:left w:val="single" w:color="auto" w:sz="8" w:space="0"/>
              <w:bottom w:val="single" w:color="000000" w:sz="8" w:space="0"/>
              <w:right w:val="single" w:color="auto" w:sz="8" w:space="0"/>
            </w:tcBorders>
            <w:shd w:val="clear" w:color="auto" w:fill="auto"/>
            <w:vAlign w:val="center"/>
          </w:tcPr>
          <w:p>
            <w:pPr>
              <w:pageBreakBefore w:val="0"/>
              <w:kinsoku/>
              <w:wordWrap/>
              <w:overflowPunct/>
              <w:topLinePunct w:val="0"/>
              <w:autoSpaceDE/>
              <w:autoSpaceDN/>
              <w:bidi w:val="0"/>
              <w:spacing w:line="40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3000" w:type="dxa"/>
            <w:vMerge w:val="restart"/>
            <w:tcBorders>
              <w:top w:val="nil"/>
              <w:left w:val="single" w:color="auto" w:sz="8" w:space="0"/>
              <w:bottom w:val="single" w:color="000000" w:sz="8" w:space="0"/>
              <w:right w:val="single" w:color="auto" w:sz="8"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bidi="ar"/>
              </w:rPr>
              <w:t>窄带成像电子鼻咽喉镜</w:t>
            </w:r>
          </w:p>
        </w:tc>
        <w:tc>
          <w:tcPr>
            <w:tcW w:w="2745" w:type="dxa"/>
            <w:vMerge w:val="restart"/>
            <w:tcBorders>
              <w:top w:val="nil"/>
              <w:left w:val="single" w:color="auto" w:sz="8" w:space="0"/>
              <w:bottom w:val="single" w:color="000000" w:sz="8"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厦门大学附属第一医院</w:t>
            </w:r>
          </w:p>
        </w:tc>
        <w:tc>
          <w:tcPr>
            <w:tcW w:w="1605" w:type="dxa"/>
            <w:vMerge w:val="restart"/>
            <w:tcBorders>
              <w:top w:val="nil"/>
              <w:left w:val="single" w:color="auto" w:sz="4" w:space="0"/>
              <w:bottom w:val="single" w:color="000000" w:sz="8"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2021-12-03</w:t>
            </w:r>
          </w:p>
        </w:tc>
        <w:tc>
          <w:tcPr>
            <w:tcW w:w="1980" w:type="dxa"/>
            <w:vMerge w:val="restart"/>
            <w:tcBorders>
              <w:top w:val="nil"/>
              <w:left w:val="single" w:color="auto" w:sz="4" w:space="0"/>
              <w:bottom w:val="single" w:color="000000" w:sz="8" w:space="0"/>
              <w:right w:val="single" w:color="auto" w:sz="8"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1829800</w:t>
            </w:r>
          </w:p>
        </w:tc>
        <w:tc>
          <w:tcPr>
            <w:tcW w:w="3255" w:type="dxa"/>
            <w:vMerge w:val="restart"/>
            <w:tcBorders>
              <w:top w:val="nil"/>
              <w:left w:val="single" w:color="auto" w:sz="8" w:space="0"/>
              <w:bottom w:val="single" w:color="000000" w:sz="8" w:space="0"/>
              <w:right w:val="single" w:color="auto" w:sz="8" w:space="0"/>
            </w:tcBorders>
            <w:shd w:val="clear" w:color="auto" w:fill="auto"/>
            <w:vAlign w:val="center"/>
          </w:tcPr>
          <w:p>
            <w:pPr>
              <w:pageBreakBefore w:val="0"/>
              <w:kinsoku/>
              <w:wordWrap/>
              <w:overflowPunct/>
              <w:topLinePunct w:val="0"/>
              <w:autoSpaceDE/>
              <w:autoSpaceDN/>
              <w:bidi w:val="0"/>
              <w:spacing w:line="400" w:lineRule="exact"/>
              <w:rPr>
                <w:rFonts w:hint="eastAsia" w:ascii="仿宋" w:hAnsi="仿宋" w:eastAsia="仿宋" w:cs="仿宋"/>
                <w:color w:val="0563C1"/>
                <w:sz w:val="24"/>
                <w:szCs w:val="24"/>
                <w:u w:val="single"/>
              </w:rPr>
            </w:pPr>
            <w:r>
              <w:rPr>
                <w:rFonts w:hint="eastAsia" w:ascii="仿宋" w:hAnsi="仿宋" w:eastAsia="仿宋" w:cs="仿宋"/>
                <w:color w:val="0563C1"/>
                <w:sz w:val="24"/>
                <w:szCs w:val="24"/>
                <w:u w:val="single"/>
              </w:rPr>
              <w:t>http://ccgp-xiamen.gov.cn/freecms/site/fujian/ggxx/info/5030190.html</w:t>
            </w:r>
          </w:p>
        </w:tc>
      </w:tr>
      <w:tr>
        <w:tblPrEx>
          <w:tblCellMar>
            <w:top w:w="0" w:type="dxa"/>
            <w:left w:w="108" w:type="dxa"/>
            <w:bottom w:w="0" w:type="dxa"/>
            <w:right w:w="108" w:type="dxa"/>
          </w:tblCellMar>
        </w:tblPrEx>
        <w:trPr>
          <w:trHeight w:val="36" w:hRule="atLeast"/>
        </w:trPr>
        <w:tc>
          <w:tcPr>
            <w:tcW w:w="805" w:type="dxa"/>
            <w:vMerge w:val="continue"/>
            <w:tcBorders>
              <w:top w:val="nil"/>
              <w:left w:val="single" w:color="auto" w:sz="8" w:space="0"/>
              <w:bottom w:val="single" w:color="000000" w:sz="8" w:space="0"/>
              <w:right w:val="single" w:color="auto" w:sz="8" w:space="0"/>
            </w:tcBorders>
            <w:vAlign w:val="center"/>
          </w:tcPr>
          <w:p>
            <w:pPr>
              <w:pageBreakBefore w:val="0"/>
              <w:kinsoku/>
              <w:wordWrap/>
              <w:overflowPunct/>
              <w:topLinePunct w:val="0"/>
              <w:autoSpaceDE/>
              <w:autoSpaceDN/>
              <w:bidi w:val="0"/>
              <w:spacing w:line="400" w:lineRule="exact"/>
              <w:rPr>
                <w:rFonts w:hint="eastAsia" w:ascii="仿宋" w:hAnsi="仿宋" w:eastAsia="仿宋" w:cs="仿宋"/>
                <w:color w:val="000000"/>
                <w:sz w:val="24"/>
                <w:szCs w:val="24"/>
              </w:rPr>
            </w:pPr>
          </w:p>
        </w:tc>
        <w:tc>
          <w:tcPr>
            <w:tcW w:w="3000" w:type="dxa"/>
            <w:vMerge w:val="continue"/>
            <w:tcBorders>
              <w:top w:val="nil"/>
              <w:left w:val="single" w:color="auto" w:sz="8" w:space="0"/>
              <w:bottom w:val="single" w:color="000000" w:sz="8" w:space="0"/>
              <w:right w:val="single" w:color="auto" w:sz="8" w:space="0"/>
            </w:tcBorders>
            <w:vAlign w:val="center"/>
          </w:tcPr>
          <w:p>
            <w:pPr>
              <w:pageBreakBefore w:val="0"/>
              <w:kinsoku/>
              <w:wordWrap/>
              <w:overflowPunct/>
              <w:topLinePunct w:val="0"/>
              <w:autoSpaceDE/>
              <w:autoSpaceDN/>
              <w:bidi w:val="0"/>
              <w:spacing w:line="400" w:lineRule="exact"/>
              <w:rPr>
                <w:rFonts w:hint="eastAsia" w:ascii="仿宋" w:hAnsi="仿宋" w:eastAsia="仿宋" w:cs="仿宋"/>
                <w:color w:val="000000" w:themeColor="text1"/>
                <w:sz w:val="24"/>
                <w:szCs w:val="24"/>
                <w14:textFill>
                  <w14:solidFill>
                    <w14:schemeClr w14:val="tx1"/>
                  </w14:solidFill>
                </w14:textFill>
              </w:rPr>
            </w:pPr>
          </w:p>
        </w:tc>
        <w:tc>
          <w:tcPr>
            <w:tcW w:w="2745" w:type="dxa"/>
            <w:vMerge w:val="continue"/>
            <w:tcBorders>
              <w:top w:val="nil"/>
              <w:left w:val="single" w:color="auto" w:sz="8" w:space="0"/>
              <w:bottom w:val="single" w:color="000000" w:sz="8" w:space="0"/>
              <w:right w:val="single" w:color="auto" w:sz="4" w:space="0"/>
            </w:tcBorders>
            <w:vAlign w:val="center"/>
          </w:tcPr>
          <w:p>
            <w:pPr>
              <w:pageBreakBefore w:val="0"/>
              <w:kinsoku/>
              <w:wordWrap/>
              <w:overflowPunct/>
              <w:topLinePunct w:val="0"/>
              <w:autoSpaceDE/>
              <w:autoSpaceDN/>
              <w:bidi w:val="0"/>
              <w:spacing w:line="400" w:lineRule="exact"/>
              <w:rPr>
                <w:rFonts w:hint="eastAsia" w:ascii="仿宋" w:hAnsi="仿宋" w:eastAsia="仿宋" w:cs="仿宋"/>
                <w:color w:val="000000" w:themeColor="text1"/>
                <w:sz w:val="24"/>
                <w:szCs w:val="24"/>
                <w14:textFill>
                  <w14:solidFill>
                    <w14:schemeClr w14:val="tx1"/>
                  </w14:solidFill>
                </w14:textFill>
              </w:rPr>
            </w:pPr>
          </w:p>
        </w:tc>
        <w:tc>
          <w:tcPr>
            <w:tcW w:w="1605" w:type="dxa"/>
            <w:vMerge w:val="continue"/>
            <w:tcBorders>
              <w:top w:val="nil"/>
              <w:left w:val="single" w:color="auto" w:sz="4" w:space="0"/>
              <w:bottom w:val="single" w:color="000000" w:sz="8" w:space="0"/>
              <w:right w:val="single" w:color="auto" w:sz="4" w:space="0"/>
            </w:tcBorders>
            <w:vAlign w:val="center"/>
          </w:tcPr>
          <w:p>
            <w:pPr>
              <w:pageBreakBefore w:val="0"/>
              <w:kinsoku/>
              <w:wordWrap/>
              <w:overflowPunct/>
              <w:topLinePunct w:val="0"/>
              <w:autoSpaceDE/>
              <w:autoSpaceDN/>
              <w:bidi w:val="0"/>
              <w:spacing w:line="400" w:lineRule="exact"/>
              <w:rPr>
                <w:rFonts w:hint="eastAsia" w:ascii="仿宋" w:hAnsi="仿宋" w:eastAsia="仿宋" w:cs="仿宋"/>
                <w:color w:val="000000" w:themeColor="text1"/>
                <w:sz w:val="24"/>
                <w:szCs w:val="24"/>
                <w14:textFill>
                  <w14:solidFill>
                    <w14:schemeClr w14:val="tx1"/>
                  </w14:solidFill>
                </w14:textFill>
              </w:rPr>
            </w:pPr>
          </w:p>
        </w:tc>
        <w:tc>
          <w:tcPr>
            <w:tcW w:w="1980" w:type="dxa"/>
            <w:vMerge w:val="continue"/>
            <w:tcBorders>
              <w:top w:val="nil"/>
              <w:left w:val="single" w:color="auto" w:sz="4" w:space="0"/>
              <w:bottom w:val="single" w:color="000000" w:sz="8" w:space="0"/>
              <w:right w:val="single" w:color="auto" w:sz="8" w:space="0"/>
            </w:tcBorders>
            <w:vAlign w:val="center"/>
          </w:tcPr>
          <w:p>
            <w:pPr>
              <w:pageBreakBefore w:val="0"/>
              <w:kinsoku/>
              <w:wordWrap/>
              <w:overflowPunct/>
              <w:topLinePunct w:val="0"/>
              <w:autoSpaceDE/>
              <w:autoSpaceDN/>
              <w:bidi w:val="0"/>
              <w:spacing w:line="400" w:lineRule="exact"/>
              <w:rPr>
                <w:rFonts w:hint="eastAsia" w:ascii="仿宋" w:hAnsi="仿宋" w:eastAsia="仿宋" w:cs="仿宋"/>
                <w:color w:val="000000" w:themeColor="text1"/>
                <w:sz w:val="24"/>
                <w:szCs w:val="24"/>
                <w14:textFill>
                  <w14:solidFill>
                    <w14:schemeClr w14:val="tx1"/>
                  </w14:solidFill>
                </w14:textFill>
              </w:rPr>
            </w:pPr>
          </w:p>
        </w:tc>
        <w:tc>
          <w:tcPr>
            <w:tcW w:w="3255" w:type="dxa"/>
            <w:vMerge w:val="continue"/>
            <w:tcBorders>
              <w:top w:val="nil"/>
              <w:left w:val="single" w:color="auto" w:sz="8" w:space="0"/>
              <w:bottom w:val="single" w:color="auto" w:sz="4" w:space="0"/>
              <w:right w:val="single" w:color="auto" w:sz="8" w:space="0"/>
            </w:tcBorders>
            <w:vAlign w:val="center"/>
          </w:tcPr>
          <w:p>
            <w:pPr>
              <w:pageBreakBefore w:val="0"/>
              <w:kinsoku/>
              <w:wordWrap/>
              <w:overflowPunct/>
              <w:topLinePunct w:val="0"/>
              <w:autoSpaceDE/>
              <w:autoSpaceDN/>
              <w:bidi w:val="0"/>
              <w:spacing w:line="400" w:lineRule="exact"/>
              <w:rPr>
                <w:rFonts w:hint="eastAsia" w:ascii="仿宋" w:hAnsi="仿宋" w:eastAsia="仿宋" w:cs="仿宋"/>
                <w:color w:val="0563C1"/>
                <w:sz w:val="24"/>
                <w:szCs w:val="24"/>
                <w:u w:val="single"/>
              </w:rPr>
            </w:pPr>
          </w:p>
        </w:tc>
      </w:tr>
      <w:tr>
        <w:tblPrEx>
          <w:tblCellMar>
            <w:top w:w="0" w:type="dxa"/>
            <w:left w:w="108" w:type="dxa"/>
            <w:bottom w:w="0" w:type="dxa"/>
            <w:right w:w="108" w:type="dxa"/>
          </w:tblCellMar>
        </w:tblPrEx>
        <w:trPr>
          <w:trHeight w:val="1360" w:hRule="atLeast"/>
        </w:trPr>
        <w:tc>
          <w:tcPr>
            <w:tcW w:w="805" w:type="dxa"/>
            <w:tcBorders>
              <w:top w:val="nil"/>
              <w:left w:val="single" w:color="auto" w:sz="8" w:space="0"/>
              <w:bottom w:val="single" w:color="000000" w:sz="8" w:space="0"/>
              <w:right w:val="single" w:color="auto" w:sz="8" w:space="0"/>
            </w:tcBorders>
            <w:shd w:val="clear" w:color="auto" w:fill="auto"/>
            <w:vAlign w:val="center"/>
          </w:tcPr>
          <w:p>
            <w:pPr>
              <w:pageBreakBefore w:val="0"/>
              <w:kinsoku/>
              <w:wordWrap/>
              <w:overflowPunct/>
              <w:topLinePunct w:val="0"/>
              <w:autoSpaceDE/>
              <w:autoSpaceDN/>
              <w:bidi w:val="0"/>
              <w:spacing w:line="40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w:t>
            </w:r>
          </w:p>
        </w:tc>
        <w:tc>
          <w:tcPr>
            <w:tcW w:w="3000" w:type="dxa"/>
            <w:tcBorders>
              <w:top w:val="nil"/>
              <w:left w:val="single" w:color="auto" w:sz="8" w:space="0"/>
              <w:bottom w:val="single" w:color="000000" w:sz="8" w:space="0"/>
              <w:right w:val="single" w:color="auto" w:sz="8"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电子鼻咽喉镜</w:t>
            </w:r>
          </w:p>
        </w:tc>
        <w:tc>
          <w:tcPr>
            <w:tcW w:w="2745" w:type="dxa"/>
            <w:tcBorders>
              <w:top w:val="nil"/>
              <w:left w:val="single" w:color="auto" w:sz="8" w:space="0"/>
              <w:bottom w:val="single" w:color="000000" w:sz="8"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bidi="ar"/>
              </w:rPr>
              <w:t>福建省中医药大学附属第二人民医院</w:t>
            </w:r>
          </w:p>
        </w:tc>
        <w:tc>
          <w:tcPr>
            <w:tcW w:w="1605" w:type="dxa"/>
            <w:tcBorders>
              <w:top w:val="nil"/>
              <w:left w:val="single" w:color="auto" w:sz="4" w:space="0"/>
              <w:bottom w:val="single" w:color="000000" w:sz="8"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eastAsia" w:ascii="仿宋" w:hAnsi="仿宋" w:eastAsia="仿宋" w:cs="仿宋"/>
                <w:color w:val="000000"/>
                <w:sz w:val="24"/>
                <w:szCs w:val="24"/>
                <w:lang w:val="en-US" w:eastAsia="zh-CN" w:bidi="ar"/>
              </w:rPr>
            </w:pPr>
            <w:r>
              <w:rPr>
                <w:rFonts w:hint="eastAsia" w:ascii="仿宋" w:hAnsi="仿宋" w:eastAsia="仿宋" w:cs="仿宋"/>
                <w:color w:val="000000"/>
                <w:sz w:val="24"/>
                <w:szCs w:val="24"/>
                <w:lang w:val="en-US" w:eastAsia="zh-CN" w:bidi="ar"/>
              </w:rPr>
              <w:t>2022-9-23</w:t>
            </w:r>
          </w:p>
        </w:tc>
        <w:tc>
          <w:tcPr>
            <w:tcW w:w="1980" w:type="dxa"/>
            <w:tcBorders>
              <w:top w:val="nil"/>
              <w:left w:val="single" w:color="auto" w:sz="4" w:space="0"/>
              <w:bottom w:val="single" w:color="000000" w:sz="8"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eastAsia" w:ascii="仿宋" w:hAnsi="仿宋" w:eastAsia="仿宋" w:cs="仿宋"/>
                <w:color w:val="000000"/>
                <w:sz w:val="24"/>
                <w:szCs w:val="24"/>
                <w:lang w:val="en-US" w:eastAsia="zh-CN" w:bidi="ar"/>
              </w:rPr>
            </w:pPr>
            <w:r>
              <w:rPr>
                <w:rFonts w:hint="eastAsia" w:ascii="仿宋" w:hAnsi="仿宋" w:eastAsia="仿宋" w:cs="仿宋"/>
                <w:color w:val="000000"/>
                <w:sz w:val="24"/>
                <w:szCs w:val="24"/>
                <w:lang w:val="en-US" w:eastAsia="zh-CN" w:bidi="ar"/>
              </w:rPr>
              <w:t>629000</w:t>
            </w:r>
          </w:p>
        </w:tc>
        <w:tc>
          <w:tcPr>
            <w:tcW w:w="3255" w:type="dxa"/>
            <w:tcBorders>
              <w:top w:val="single" w:color="auto" w:sz="4" w:space="0"/>
              <w:left w:val="single" w:color="auto" w:sz="4" w:space="0"/>
              <w:bottom w:val="single" w:color="auto" w:sz="4"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rPr>
                <w:rFonts w:hint="eastAsia" w:ascii="仿宋" w:hAnsi="仿宋" w:eastAsia="仿宋" w:cs="仿宋"/>
                <w:color w:val="0563C1"/>
                <w:sz w:val="24"/>
                <w:szCs w:val="24"/>
                <w:u w:val="single"/>
              </w:rPr>
            </w:pPr>
            <w:r>
              <w:rPr>
                <w:rFonts w:hint="eastAsia" w:ascii="仿宋" w:hAnsi="仿宋" w:eastAsia="仿宋" w:cs="仿宋"/>
                <w:color w:val="0563C1"/>
                <w:sz w:val="24"/>
                <w:szCs w:val="24"/>
                <w:u w:val="single"/>
              </w:rPr>
              <w:t>https://zfcg.czt.fujian.gov.cn/freecms/site/fujian/ggxx/info/157664.html?noticeType=001021,001022,001023,001024,001025,001026,001029,001004,001006</w:t>
            </w:r>
          </w:p>
        </w:tc>
      </w:tr>
      <w:tr>
        <w:tblPrEx>
          <w:tblCellMar>
            <w:top w:w="0" w:type="dxa"/>
            <w:left w:w="108" w:type="dxa"/>
            <w:bottom w:w="0" w:type="dxa"/>
            <w:right w:w="108" w:type="dxa"/>
          </w:tblCellMar>
        </w:tblPrEx>
        <w:trPr>
          <w:trHeight w:val="1490" w:hRule="atLeast"/>
        </w:trPr>
        <w:tc>
          <w:tcPr>
            <w:tcW w:w="805" w:type="dxa"/>
            <w:tcBorders>
              <w:top w:val="nil"/>
              <w:left w:val="single" w:color="auto" w:sz="8" w:space="0"/>
              <w:bottom w:val="single" w:color="auto" w:sz="4" w:space="0"/>
              <w:right w:val="single" w:color="auto" w:sz="8" w:space="0"/>
            </w:tcBorders>
            <w:shd w:val="clear" w:color="auto" w:fill="auto"/>
            <w:vAlign w:val="center"/>
          </w:tcPr>
          <w:p>
            <w:pPr>
              <w:pageBreakBefore w:val="0"/>
              <w:kinsoku/>
              <w:wordWrap/>
              <w:overflowPunct/>
              <w:topLinePunct w:val="0"/>
              <w:autoSpaceDE/>
              <w:autoSpaceDN/>
              <w:bidi w:val="0"/>
              <w:spacing w:line="40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w:t>
            </w:r>
          </w:p>
        </w:tc>
        <w:tc>
          <w:tcPr>
            <w:tcW w:w="3000" w:type="dxa"/>
            <w:tcBorders>
              <w:top w:val="nil"/>
              <w:left w:val="single" w:color="auto" w:sz="8" w:space="0"/>
              <w:bottom w:val="single" w:color="auto" w:sz="4" w:space="0"/>
              <w:right w:val="single" w:color="auto" w:sz="8"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bidi="ar"/>
              </w:rPr>
              <w:t>电子鼻咽喉镜</w:t>
            </w:r>
          </w:p>
        </w:tc>
        <w:tc>
          <w:tcPr>
            <w:tcW w:w="2745" w:type="dxa"/>
            <w:tcBorders>
              <w:top w:val="nil"/>
              <w:left w:val="single" w:color="auto" w:sz="8" w:space="0"/>
              <w:bottom w:val="single" w:color="auto" w:sz="4"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bidi="ar"/>
              </w:rPr>
              <w:t>福建省南平市第二医院</w:t>
            </w:r>
          </w:p>
        </w:tc>
        <w:tc>
          <w:tcPr>
            <w:tcW w:w="1605" w:type="dxa"/>
            <w:tcBorders>
              <w:top w:val="nil"/>
              <w:left w:val="single" w:color="auto" w:sz="4" w:space="0"/>
              <w:bottom w:val="single" w:color="auto" w:sz="4"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default" w:ascii="仿宋" w:hAnsi="仿宋" w:eastAsia="仿宋" w:cs="仿宋"/>
                <w:color w:val="000000"/>
                <w:sz w:val="24"/>
                <w:szCs w:val="24"/>
                <w:lang w:val="en-US" w:eastAsia="zh-CN" w:bidi="ar"/>
              </w:rPr>
            </w:pPr>
            <w:r>
              <w:rPr>
                <w:rFonts w:hint="eastAsia" w:ascii="仿宋" w:hAnsi="仿宋" w:eastAsia="仿宋" w:cs="仿宋"/>
                <w:color w:val="000000"/>
                <w:sz w:val="24"/>
                <w:szCs w:val="24"/>
                <w:lang w:val="en-US" w:eastAsia="zh-CN" w:bidi="ar"/>
              </w:rPr>
              <w:t>2021-2-8</w:t>
            </w:r>
          </w:p>
        </w:tc>
        <w:tc>
          <w:tcPr>
            <w:tcW w:w="1980" w:type="dxa"/>
            <w:tcBorders>
              <w:top w:val="nil"/>
              <w:left w:val="single" w:color="auto" w:sz="4" w:space="0"/>
              <w:bottom w:val="single" w:color="auto" w:sz="4" w:space="0"/>
              <w:right w:val="single" w:color="auto" w:sz="8"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default" w:ascii="仿宋" w:hAnsi="仿宋" w:eastAsia="仿宋" w:cs="仿宋"/>
                <w:color w:val="000000"/>
                <w:sz w:val="24"/>
                <w:szCs w:val="24"/>
                <w:lang w:val="en-US" w:eastAsia="zh-CN" w:bidi="ar"/>
              </w:rPr>
            </w:pPr>
            <w:r>
              <w:rPr>
                <w:rFonts w:hint="eastAsia" w:ascii="仿宋" w:hAnsi="仿宋" w:eastAsia="仿宋" w:cs="仿宋"/>
                <w:color w:val="000000"/>
                <w:sz w:val="24"/>
                <w:szCs w:val="24"/>
                <w:lang w:val="en-US" w:eastAsia="zh-CN" w:bidi="ar"/>
              </w:rPr>
              <w:t>785000</w:t>
            </w:r>
          </w:p>
        </w:tc>
        <w:tc>
          <w:tcPr>
            <w:tcW w:w="3255" w:type="dxa"/>
            <w:tcBorders>
              <w:top w:val="single" w:color="auto" w:sz="4" w:space="0"/>
              <w:left w:val="single" w:color="auto" w:sz="8" w:space="0"/>
              <w:bottom w:val="single" w:color="auto" w:sz="4" w:space="0"/>
              <w:right w:val="single" w:color="auto" w:sz="8" w:space="0"/>
            </w:tcBorders>
            <w:shd w:val="clear" w:color="auto" w:fill="auto"/>
            <w:vAlign w:val="center"/>
          </w:tcPr>
          <w:p>
            <w:pPr>
              <w:pageBreakBefore w:val="0"/>
              <w:kinsoku/>
              <w:wordWrap/>
              <w:overflowPunct/>
              <w:topLinePunct w:val="0"/>
              <w:autoSpaceDE/>
              <w:autoSpaceDN/>
              <w:bidi w:val="0"/>
              <w:spacing w:line="400" w:lineRule="exact"/>
              <w:rPr>
                <w:rFonts w:hint="eastAsia" w:ascii="仿宋" w:hAnsi="仿宋" w:eastAsia="仿宋" w:cs="仿宋"/>
                <w:color w:val="0563C1"/>
                <w:sz w:val="24"/>
                <w:szCs w:val="24"/>
                <w:u w:val="single"/>
              </w:rPr>
            </w:pPr>
            <w:r>
              <w:rPr>
                <w:rFonts w:hint="eastAsia" w:ascii="仿宋" w:hAnsi="仿宋" w:eastAsia="仿宋" w:cs="仿宋"/>
                <w:color w:val="0563C1"/>
                <w:sz w:val="24"/>
                <w:szCs w:val="24"/>
                <w:u w:val="single"/>
              </w:rPr>
              <w:t>http://www.ccgp.gov.cn/cggg/dfgg/zbgg/202102/t20210208_15904099.htm</w:t>
            </w:r>
          </w:p>
        </w:tc>
      </w:tr>
      <w:tr>
        <w:tblPrEx>
          <w:tblCellMar>
            <w:top w:w="0" w:type="dxa"/>
            <w:left w:w="108" w:type="dxa"/>
            <w:bottom w:w="0" w:type="dxa"/>
            <w:right w:w="108" w:type="dxa"/>
          </w:tblCellMar>
        </w:tblPrEx>
        <w:trPr>
          <w:trHeight w:val="1490" w:hRule="atLeast"/>
        </w:trPr>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eastAsia" w:ascii="仿宋" w:hAnsi="仿宋" w:eastAsia="仿宋" w:cs="仿宋"/>
                <w:color w:val="000000"/>
                <w:sz w:val="24"/>
                <w:szCs w:val="24"/>
                <w:lang w:val="en-US" w:eastAsia="zh-CN" w:bidi="ar"/>
              </w:rPr>
            </w:pPr>
            <w:r>
              <w:rPr>
                <w:rFonts w:hint="eastAsia" w:ascii="仿宋" w:hAnsi="仿宋" w:eastAsia="仿宋" w:cs="仿宋"/>
                <w:color w:val="000000"/>
                <w:sz w:val="24"/>
                <w:szCs w:val="24"/>
                <w:lang w:val="en-US" w:eastAsia="zh-CN" w:bidi="ar"/>
              </w:rPr>
              <w:t>电子鼻咽喉镜（内窥镜视频图像处理装置）</w:t>
            </w:r>
          </w:p>
        </w:tc>
        <w:tc>
          <w:tcPr>
            <w:tcW w:w="2745" w:type="dxa"/>
            <w:tcBorders>
              <w:top w:val="single" w:color="auto" w:sz="4" w:space="0"/>
              <w:left w:val="single" w:color="auto" w:sz="4" w:space="0"/>
              <w:bottom w:val="single" w:color="auto" w:sz="4"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eastAsia" w:ascii="仿宋" w:hAnsi="仿宋" w:eastAsia="仿宋" w:cs="仿宋"/>
                <w:color w:val="000000"/>
                <w:sz w:val="24"/>
                <w:szCs w:val="24"/>
                <w:lang w:val="en-US" w:eastAsia="zh-CN" w:bidi="ar"/>
              </w:rPr>
            </w:pPr>
            <w:r>
              <w:rPr>
                <w:rFonts w:hint="eastAsia" w:ascii="仿宋" w:hAnsi="仿宋" w:eastAsia="仿宋" w:cs="仿宋"/>
                <w:color w:val="000000"/>
                <w:sz w:val="24"/>
                <w:szCs w:val="24"/>
                <w:lang w:val="en-US" w:eastAsia="zh-CN" w:bidi="ar"/>
              </w:rPr>
              <w:t>福建医科大学附属第二医院</w:t>
            </w:r>
          </w:p>
        </w:tc>
        <w:tc>
          <w:tcPr>
            <w:tcW w:w="1605" w:type="dxa"/>
            <w:tcBorders>
              <w:top w:val="single" w:color="auto" w:sz="4" w:space="0"/>
              <w:left w:val="single" w:color="auto" w:sz="4" w:space="0"/>
              <w:bottom w:val="single" w:color="auto" w:sz="4"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default" w:ascii="仿宋" w:hAnsi="仿宋" w:eastAsia="仿宋" w:cs="仿宋"/>
                <w:color w:val="000000"/>
                <w:sz w:val="24"/>
                <w:szCs w:val="24"/>
                <w:lang w:val="en-US" w:eastAsia="zh-CN" w:bidi="ar"/>
              </w:rPr>
            </w:pPr>
            <w:r>
              <w:rPr>
                <w:rFonts w:hint="eastAsia" w:ascii="仿宋" w:hAnsi="仿宋" w:eastAsia="仿宋" w:cs="仿宋"/>
                <w:color w:val="000000"/>
                <w:sz w:val="24"/>
                <w:szCs w:val="24"/>
                <w:lang w:val="en-US" w:eastAsia="zh-CN" w:bidi="ar"/>
              </w:rPr>
              <w:t>2022-9-13</w:t>
            </w:r>
          </w:p>
        </w:tc>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textAlignment w:val="center"/>
              <w:rPr>
                <w:rFonts w:hint="eastAsia" w:ascii="仿宋" w:hAnsi="仿宋" w:eastAsia="仿宋" w:cs="仿宋"/>
                <w:color w:val="000000"/>
                <w:sz w:val="24"/>
                <w:szCs w:val="24"/>
                <w:lang w:val="en-US" w:eastAsia="zh-CN" w:bidi="ar"/>
              </w:rPr>
            </w:pPr>
            <w:r>
              <w:rPr>
                <w:rFonts w:hint="eastAsia" w:ascii="仿宋" w:hAnsi="仿宋" w:eastAsia="仿宋" w:cs="仿宋"/>
                <w:color w:val="000000"/>
                <w:sz w:val="24"/>
                <w:szCs w:val="24"/>
                <w:lang w:val="en-US" w:eastAsia="zh-CN" w:bidi="ar"/>
              </w:rPr>
              <w:t>899000</w:t>
            </w:r>
          </w:p>
        </w:tc>
        <w:tc>
          <w:tcPr>
            <w:tcW w:w="3255" w:type="dxa"/>
            <w:tcBorders>
              <w:top w:val="single" w:color="auto" w:sz="4" w:space="0"/>
              <w:left w:val="single" w:color="auto" w:sz="4" w:space="0"/>
              <w:bottom w:val="single" w:color="auto" w:sz="4" w:space="0"/>
              <w:right w:val="single" w:color="auto" w:sz="4" w:space="0"/>
            </w:tcBorders>
            <w:shd w:val="clear" w:color="auto" w:fill="auto"/>
            <w:vAlign w:val="center"/>
          </w:tcPr>
          <w:p>
            <w:pPr>
              <w:pageBreakBefore w:val="0"/>
              <w:kinsoku/>
              <w:wordWrap/>
              <w:overflowPunct/>
              <w:topLinePunct w:val="0"/>
              <w:autoSpaceDE/>
              <w:autoSpaceDN/>
              <w:bidi w:val="0"/>
              <w:spacing w:line="400" w:lineRule="exact"/>
              <w:rPr>
                <w:rFonts w:hint="eastAsia" w:ascii="仿宋" w:hAnsi="仿宋" w:eastAsia="仿宋" w:cs="仿宋"/>
                <w:color w:val="0563C1"/>
                <w:sz w:val="24"/>
                <w:szCs w:val="24"/>
                <w:u w:val="single"/>
              </w:rPr>
            </w:pPr>
            <w:r>
              <w:rPr>
                <w:rFonts w:hint="eastAsia" w:ascii="仿宋" w:hAnsi="仿宋" w:eastAsia="仿宋" w:cs="仿宋"/>
                <w:color w:val="0563C1"/>
                <w:sz w:val="24"/>
                <w:szCs w:val="24"/>
                <w:u w:val="single"/>
              </w:rPr>
              <w:t>https://www.ebnew.com/businessShow/679857318.html</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rPr>
        <w:t>该设备是医疗器械二类产品，无</w:t>
      </w:r>
      <w:r>
        <w:rPr>
          <w:rFonts w:hint="eastAsia" w:ascii="仿宋" w:hAnsi="仿宋" w:eastAsia="仿宋" w:cs="仿宋"/>
          <w:b w:val="0"/>
          <w:bCs w:val="0"/>
          <w:sz w:val="24"/>
          <w:szCs w:val="24"/>
          <w:lang w:val="en-US" w:eastAsia="zh-CN"/>
        </w:rPr>
        <w:t>需</w:t>
      </w:r>
      <w:r>
        <w:rPr>
          <w:rFonts w:hint="eastAsia" w:ascii="仿宋" w:hAnsi="仿宋" w:eastAsia="仿宋" w:cs="仿宋"/>
          <w:b w:val="0"/>
          <w:bCs w:val="0"/>
          <w:sz w:val="24"/>
          <w:szCs w:val="24"/>
        </w:rPr>
        <w:t>耗材。</w:t>
      </w:r>
    </w:p>
    <w:p>
      <w:pPr>
        <w:pageBreakBefore w:val="0"/>
        <w:numPr>
          <w:ilvl w:val="0"/>
          <w:numId w:val="2"/>
        </w:numPr>
        <w:shd w:val="clear" w:color="auto" w:fill="FFFFFF"/>
        <w:kinsoku/>
        <w:wordWrap/>
        <w:overflowPunct/>
        <w:topLinePunct w:val="0"/>
        <w:autoSpaceDE/>
        <w:autoSpaceDN/>
        <w:bidi w:val="0"/>
        <w:snapToGrid w:val="0"/>
        <w:spacing w:line="400" w:lineRule="exact"/>
        <w:ind w:left="0" w:leftChars="0" w:firstLine="482" w:firstLineChars="200"/>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国产进口产品价格对比</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lang w:val="en-US" w:eastAsia="zh-CN"/>
        </w:rPr>
      </w:pPr>
      <w:r>
        <w:rPr>
          <w:rFonts w:hint="eastAsia" w:ascii="仿宋" w:hAnsi="仿宋" w:eastAsia="仿宋" w:cs="仿宋"/>
          <w:b w:val="0"/>
          <w:bCs w:val="0"/>
          <w:sz w:val="24"/>
          <w:szCs w:val="24"/>
        </w:rPr>
        <w:t>近期在政采领域的中标或成交情况及价格情况：进口品牌设备价格人民币</w:t>
      </w:r>
      <w:r>
        <w:rPr>
          <w:rFonts w:hint="eastAsia" w:ascii="仿宋" w:hAnsi="仿宋" w:eastAsia="仿宋" w:cs="仿宋"/>
          <w:b w:val="0"/>
          <w:bCs w:val="0"/>
          <w:sz w:val="24"/>
          <w:szCs w:val="24"/>
          <w:lang w:val="en-US" w:eastAsia="zh-CN"/>
        </w:rPr>
        <w:t>70</w:t>
      </w:r>
      <w:r>
        <w:rPr>
          <w:rFonts w:hint="eastAsia" w:ascii="仿宋" w:hAnsi="仿宋" w:eastAsia="仿宋" w:cs="仿宋"/>
          <w:b w:val="0"/>
          <w:bCs w:val="0"/>
          <w:sz w:val="24"/>
          <w:szCs w:val="24"/>
        </w:rPr>
        <w:t>万～</w:t>
      </w:r>
      <w:r>
        <w:rPr>
          <w:rFonts w:hint="eastAsia" w:ascii="仿宋" w:hAnsi="仿宋" w:eastAsia="仿宋" w:cs="仿宋"/>
          <w:b w:val="0"/>
          <w:bCs w:val="0"/>
          <w:sz w:val="24"/>
          <w:szCs w:val="24"/>
          <w:lang w:val="en-US" w:eastAsia="zh-CN"/>
        </w:rPr>
        <w:t>200万</w:t>
      </w:r>
      <w:r>
        <w:rPr>
          <w:rFonts w:hint="eastAsia" w:ascii="仿宋" w:hAnsi="仿宋" w:eastAsia="仿宋" w:cs="仿宋"/>
          <w:b w:val="0"/>
          <w:bCs w:val="0"/>
          <w:sz w:val="24"/>
          <w:szCs w:val="24"/>
        </w:rPr>
        <w:t>元；国产品牌设备价格人民币</w:t>
      </w:r>
      <w:r>
        <w:rPr>
          <w:rFonts w:hint="eastAsia" w:ascii="仿宋" w:hAnsi="仿宋" w:eastAsia="仿宋" w:cs="仿宋"/>
          <w:b w:val="0"/>
          <w:bCs w:val="0"/>
          <w:sz w:val="24"/>
          <w:szCs w:val="24"/>
          <w:lang w:val="en-US" w:eastAsia="zh-CN"/>
        </w:rPr>
        <w:t>40</w:t>
      </w:r>
      <w:r>
        <w:rPr>
          <w:rFonts w:hint="eastAsia" w:ascii="仿宋" w:hAnsi="仿宋" w:eastAsia="仿宋" w:cs="仿宋"/>
          <w:b w:val="0"/>
          <w:bCs w:val="0"/>
          <w:sz w:val="24"/>
          <w:szCs w:val="24"/>
        </w:rPr>
        <w:t>～</w:t>
      </w:r>
      <w:r>
        <w:rPr>
          <w:rFonts w:hint="eastAsia" w:ascii="仿宋" w:hAnsi="仿宋" w:eastAsia="仿宋" w:cs="仿宋"/>
          <w:b w:val="0"/>
          <w:bCs w:val="0"/>
          <w:sz w:val="24"/>
          <w:szCs w:val="24"/>
          <w:lang w:val="en-US" w:eastAsia="zh-CN"/>
        </w:rPr>
        <w:t>80</w:t>
      </w:r>
      <w:r>
        <w:rPr>
          <w:rFonts w:hint="eastAsia" w:ascii="仿宋" w:hAnsi="仿宋" w:eastAsia="仿宋" w:cs="仿宋"/>
          <w:b w:val="0"/>
          <w:bCs w:val="0"/>
          <w:sz w:val="24"/>
          <w:szCs w:val="24"/>
        </w:rPr>
        <w:t>万元左右</w:t>
      </w:r>
      <w:r>
        <w:rPr>
          <w:rFonts w:hint="eastAsia" w:ascii="仿宋" w:hAnsi="仿宋" w:eastAsia="仿宋" w:cs="仿宋"/>
          <w:b w:val="0"/>
          <w:bCs w:val="0"/>
          <w:sz w:val="24"/>
          <w:szCs w:val="24"/>
          <w:lang w:eastAsia="zh-CN"/>
        </w:rPr>
        <w:t>。</w:t>
      </w:r>
    </w:p>
    <w:p>
      <w:pPr>
        <w:pStyle w:val="3"/>
        <w:pageBreakBefore w:val="0"/>
        <w:kinsoku/>
        <w:wordWrap/>
        <w:overflowPunct/>
        <w:topLinePunct w:val="0"/>
        <w:autoSpaceDE/>
        <w:autoSpaceDN/>
        <w:bidi w:val="0"/>
        <w:spacing w:line="400" w:lineRule="exact"/>
        <w:rPr>
          <w:rFonts w:hint="eastAsia" w:ascii="仿宋" w:hAnsi="仿宋" w:eastAsia="仿宋" w:cs="仿宋"/>
          <w:sz w:val="24"/>
          <w:szCs w:val="24"/>
        </w:rPr>
      </w:pPr>
      <w:r>
        <w:rPr>
          <w:rFonts w:hint="eastAsia" w:ascii="仿宋" w:hAnsi="仿宋" w:eastAsia="仿宋" w:cs="仿宋"/>
          <w:b/>
          <w:bCs/>
          <w:sz w:val="24"/>
          <w:szCs w:val="24"/>
          <w:lang w:val="en-US" w:eastAsia="zh-CN"/>
        </w:rPr>
        <w:t>4.</w:t>
      </w:r>
      <w:r>
        <w:rPr>
          <w:rFonts w:hint="eastAsia" w:ascii="仿宋" w:hAnsi="仿宋" w:eastAsia="仿宋" w:cs="仿宋"/>
          <w:b/>
          <w:bCs/>
          <w:sz w:val="24"/>
          <w:szCs w:val="24"/>
        </w:rPr>
        <w:t>国产、进口产品的核心技术标准与采购需求标准的对比情</w:t>
      </w:r>
    </w:p>
    <w:tbl>
      <w:tblPr>
        <w:tblStyle w:val="6"/>
        <w:tblpPr w:leftFromText="180" w:rightFromText="180" w:vertAnchor="text" w:horzAnchor="page" w:tblpXSpec="center" w:tblpY="73"/>
        <w:tblOverlap w:val="never"/>
        <w:tblW w:w="133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
        <w:gridCol w:w="1594"/>
        <w:gridCol w:w="2145"/>
        <w:gridCol w:w="2160"/>
        <w:gridCol w:w="2078"/>
        <w:gridCol w:w="1860"/>
        <w:gridCol w:w="3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408"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Style w:val="8"/>
                <w:rFonts w:hint="eastAsia" w:ascii="仿宋" w:hAnsi="仿宋" w:eastAsia="仿宋" w:cs="仿宋"/>
                <w:b w:val="0"/>
                <w:bCs w:val="0"/>
                <w:sz w:val="24"/>
                <w:szCs w:val="24"/>
              </w:rPr>
            </w:pPr>
            <w:r>
              <w:rPr>
                <w:rStyle w:val="8"/>
                <w:rFonts w:hint="eastAsia" w:ascii="仿宋" w:hAnsi="仿宋" w:eastAsia="仿宋" w:cs="仿宋"/>
                <w:b w:val="0"/>
                <w:bCs w:val="0"/>
                <w:sz w:val="24"/>
                <w:szCs w:val="24"/>
              </w:rPr>
              <w:t>序号</w:t>
            </w:r>
          </w:p>
        </w:tc>
        <w:tc>
          <w:tcPr>
            <w:tcW w:w="1594"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Style w:val="8"/>
                <w:rFonts w:hint="eastAsia" w:ascii="仿宋" w:hAnsi="仿宋" w:eastAsia="仿宋" w:cs="仿宋"/>
                <w:b w:val="0"/>
                <w:bCs w:val="0"/>
                <w:sz w:val="24"/>
                <w:szCs w:val="24"/>
              </w:rPr>
            </w:pPr>
            <w:r>
              <w:rPr>
                <w:rStyle w:val="8"/>
                <w:rFonts w:hint="eastAsia" w:ascii="仿宋" w:hAnsi="仿宋" w:eastAsia="仿宋" w:cs="仿宋"/>
                <w:b w:val="0"/>
                <w:bCs w:val="0"/>
                <w:sz w:val="24"/>
                <w:szCs w:val="24"/>
              </w:rPr>
              <w:t>重要参数</w:t>
            </w:r>
          </w:p>
        </w:tc>
        <w:tc>
          <w:tcPr>
            <w:tcW w:w="2145"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国内产品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上海澳华</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VRL-H30</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VRL-1T30</w:t>
            </w:r>
          </w:p>
        </w:tc>
        <w:tc>
          <w:tcPr>
            <w:tcW w:w="2160"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进口产品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日本奥巴</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ENF-VH</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ENF-VT2 </w:t>
            </w:r>
          </w:p>
        </w:tc>
        <w:tc>
          <w:tcPr>
            <w:tcW w:w="2078"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进口产品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ATMOS</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ATMOS Scope</w:t>
            </w:r>
          </w:p>
        </w:tc>
        <w:tc>
          <w:tcPr>
            <w:tcW w:w="1860"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进口产品</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德国艾克松</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EV-N</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EV-NE</w:t>
            </w:r>
          </w:p>
        </w:tc>
        <w:tc>
          <w:tcPr>
            <w:tcW w:w="3148"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Style w:val="8"/>
                <w:rFonts w:hint="eastAsia" w:ascii="仿宋" w:hAnsi="仿宋" w:eastAsia="仿宋" w:cs="仿宋"/>
                <w:b w:val="0"/>
                <w:bCs w:val="0"/>
                <w:sz w:val="24"/>
                <w:szCs w:val="24"/>
              </w:rPr>
            </w:pPr>
            <w:r>
              <w:rPr>
                <w:rStyle w:val="8"/>
                <w:rFonts w:hint="eastAsia" w:ascii="仿宋" w:hAnsi="仿宋" w:eastAsia="仿宋" w:cs="仿宋"/>
                <w:b w:val="0"/>
                <w:bCs w:val="0"/>
                <w:sz w:val="24"/>
                <w:szCs w:val="24"/>
              </w:rPr>
              <w:t>参数的意义及相应的科研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408"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Style w:val="8"/>
                <w:rFonts w:hint="eastAsia" w:ascii="仿宋" w:hAnsi="仿宋" w:eastAsia="仿宋" w:cs="仿宋"/>
                <w:b w:val="0"/>
                <w:bCs w:val="0"/>
                <w:sz w:val="24"/>
                <w:szCs w:val="24"/>
                <w:lang w:val="en-US" w:eastAsia="zh-CN"/>
              </w:rPr>
            </w:pPr>
            <w:r>
              <w:rPr>
                <w:rStyle w:val="8"/>
                <w:rFonts w:hint="eastAsia" w:ascii="仿宋" w:hAnsi="仿宋" w:eastAsia="仿宋" w:cs="仿宋"/>
                <w:b w:val="0"/>
                <w:bCs w:val="0"/>
                <w:sz w:val="24"/>
                <w:szCs w:val="24"/>
                <w:lang w:val="en-US" w:eastAsia="zh-CN"/>
              </w:rPr>
              <w:t>1</w:t>
            </w:r>
          </w:p>
        </w:tc>
        <w:tc>
          <w:tcPr>
            <w:tcW w:w="1594" w:type="dxa"/>
            <w:tcBorders>
              <w:top w:val="single" w:color="auto" w:sz="4" w:space="0"/>
            </w:tcBorders>
            <w:vAlign w:val="center"/>
          </w:tcPr>
          <w:p>
            <w:pPr>
              <w:pageBreakBefore w:val="0"/>
              <w:kinsoku/>
              <w:wordWrap/>
              <w:overflowPunct/>
              <w:topLinePunct w:val="0"/>
              <w:autoSpaceDE/>
              <w:autoSpaceDN/>
              <w:bidi w:val="0"/>
              <w:spacing w:line="400" w:lineRule="exact"/>
              <w:rPr>
                <w:rFonts w:hint="eastAsia" w:ascii="仿宋" w:hAnsi="仿宋" w:eastAsia="仿宋" w:cs="仿宋"/>
                <w:sz w:val="24"/>
                <w:szCs w:val="24"/>
              </w:rPr>
            </w:pPr>
            <w:r>
              <w:rPr>
                <w:rFonts w:hint="eastAsia" w:ascii="仿宋" w:hAnsi="仿宋" w:eastAsia="仿宋" w:cs="仿宋"/>
                <w:sz w:val="24"/>
                <w:szCs w:val="24"/>
                <w:lang w:val="en-US" w:eastAsia="zh-CN"/>
              </w:rPr>
              <w:t>具有窄带成像技术</w:t>
            </w:r>
            <w:r>
              <w:rPr>
                <w:rFonts w:hint="eastAsia" w:ascii="仿宋" w:hAnsi="仿宋" w:eastAsia="仿宋" w:cs="仿宋"/>
                <w:sz w:val="24"/>
                <w:szCs w:val="24"/>
              </w:rPr>
              <w:t>可通过光学物理原理，利用主机上的滤光片过滤内镜光源发出的红蓝绿光波中的宽带光谱仅留下窄带光谱进行内镜特殊光观察</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Style w:val="8"/>
                <w:rFonts w:hint="eastAsia" w:ascii="仿宋" w:hAnsi="仿宋" w:eastAsia="仿宋" w:cs="仿宋"/>
                <w:b w:val="0"/>
                <w:bCs w:val="0"/>
                <w:sz w:val="24"/>
                <w:szCs w:val="24"/>
              </w:rPr>
            </w:pPr>
          </w:p>
        </w:tc>
        <w:tc>
          <w:tcPr>
            <w:tcW w:w="2145"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i w:val="0"/>
                <w:iCs w:val="0"/>
                <w:caps w:val="0"/>
                <w:color w:val="auto"/>
                <w:spacing w:val="0"/>
                <w:sz w:val="24"/>
                <w:szCs w:val="24"/>
                <w:shd w:val="clear" w:fill="FFFFFF"/>
                <w:lang w:val="en-US" w:eastAsia="zh-CN"/>
              </w:rPr>
              <w:t>检查型电子鼻咽喉镜VRL-H30</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 w:hAnsi="仿宋" w:eastAsia="仿宋" w:cs="仿宋"/>
                <w:i w:val="0"/>
                <w:iCs w:val="0"/>
                <w:caps w:val="0"/>
                <w:color w:val="auto"/>
                <w:spacing w:val="0"/>
                <w:kern w:val="2"/>
                <w:sz w:val="24"/>
                <w:szCs w:val="24"/>
                <w:shd w:val="clear" w:fill="FFFFFF"/>
                <w:lang w:val="en-US" w:eastAsia="zh-CN" w:bidi="ar-SA"/>
              </w:rPr>
            </w:pPr>
            <w:r>
              <w:rPr>
                <w:rFonts w:hint="eastAsia" w:ascii="仿宋" w:hAnsi="仿宋" w:eastAsia="仿宋" w:cs="仿宋"/>
                <w:i w:val="0"/>
                <w:iCs w:val="0"/>
                <w:caps w:val="0"/>
                <w:color w:val="auto"/>
                <w:spacing w:val="0"/>
                <w:sz w:val="24"/>
                <w:szCs w:val="24"/>
                <w:shd w:val="clear" w:fill="FFFFFF"/>
                <w:lang w:val="en-US" w:eastAsia="zh-CN"/>
              </w:rPr>
              <w:t>不可实现窄带光谱的特殊光观察</w:t>
            </w:r>
          </w:p>
        </w:tc>
        <w:tc>
          <w:tcPr>
            <w:tcW w:w="2160"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i w:val="0"/>
                <w:iCs w:val="0"/>
                <w:caps w:val="0"/>
                <w:color w:val="auto"/>
                <w:spacing w:val="0"/>
                <w:sz w:val="24"/>
                <w:szCs w:val="24"/>
                <w:shd w:val="clear" w:fill="FFFFFF"/>
                <w:lang w:val="en-US" w:eastAsia="zh-CN"/>
              </w:rPr>
              <w:t>检查型电子鼻咽喉镜ENF-VH全数字电子内镜图像处理系统特殊</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 w:hAnsi="仿宋" w:eastAsia="仿宋" w:cs="仿宋"/>
                <w:i w:val="0"/>
                <w:iCs w:val="0"/>
                <w:caps w:val="0"/>
                <w:color w:val="auto"/>
                <w:spacing w:val="0"/>
                <w:kern w:val="2"/>
                <w:sz w:val="24"/>
                <w:szCs w:val="24"/>
                <w:shd w:val="clear" w:fill="FFFFFF"/>
                <w:lang w:val="en-US" w:eastAsia="zh-CN" w:bidi="ar-SA"/>
              </w:rPr>
            </w:pPr>
            <w:r>
              <w:rPr>
                <w:rFonts w:hint="eastAsia" w:ascii="仿宋" w:hAnsi="仿宋" w:eastAsia="仿宋" w:cs="仿宋"/>
                <w:i w:val="0"/>
                <w:iCs w:val="0"/>
                <w:caps w:val="0"/>
                <w:color w:val="auto"/>
                <w:spacing w:val="0"/>
                <w:sz w:val="24"/>
                <w:szCs w:val="24"/>
                <w:shd w:val="clear" w:fill="FFFFFF"/>
                <w:lang w:val="en-US" w:eastAsia="zh-CN"/>
              </w:rPr>
              <w:t>可实现窄带光谱下的特殊光观察</w:t>
            </w:r>
          </w:p>
        </w:tc>
        <w:tc>
          <w:tcPr>
            <w:tcW w:w="2078"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检查型电子鼻咽喉镜</w:t>
            </w:r>
            <w:r>
              <w:rPr>
                <w:rFonts w:hint="eastAsia" w:ascii="仿宋" w:hAnsi="仿宋" w:eastAsia="仿宋" w:cs="仿宋"/>
                <w:sz w:val="24"/>
                <w:szCs w:val="24"/>
              </w:rPr>
              <w:t>ATMOS Scope</w:t>
            </w:r>
            <w:r>
              <w:rPr>
                <w:rFonts w:hint="eastAsia" w:ascii="仿宋" w:hAnsi="仿宋" w:eastAsia="仿宋" w:cs="仿宋"/>
                <w:i w:val="0"/>
                <w:iCs w:val="0"/>
                <w:caps w:val="0"/>
                <w:color w:val="auto"/>
                <w:spacing w:val="0"/>
                <w:sz w:val="24"/>
                <w:szCs w:val="24"/>
                <w:shd w:val="clear" w:fill="FFFFFF"/>
                <w:lang w:val="en-US" w:eastAsia="zh-CN"/>
              </w:rPr>
              <w:t>无任何早癌筛查技术</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kern w:val="2"/>
                <w:sz w:val="24"/>
                <w:szCs w:val="24"/>
                <w:shd w:val="clear" w:fill="FFFFFF"/>
                <w:lang w:val="en-US" w:eastAsia="zh-CN" w:bidi="ar-SA"/>
              </w:rPr>
            </w:pPr>
          </w:p>
        </w:tc>
        <w:tc>
          <w:tcPr>
            <w:tcW w:w="1860" w:type="dxa"/>
            <w:tcBorders>
              <w:top w:val="single" w:color="auto" w:sz="4" w:space="0"/>
            </w:tcBorders>
            <w:vAlign w:val="center"/>
          </w:tcPr>
          <w:p>
            <w:pPr>
              <w:keepNext w:val="0"/>
              <w:keepLines w:val="0"/>
              <w:pageBreakBefore w:val="0"/>
              <w:widowControl/>
              <w:tabs>
                <w:tab w:val="left" w:pos="2730"/>
                <w:tab w:val="left" w:pos="9660"/>
              </w:tabs>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kern w:val="2"/>
                <w:sz w:val="24"/>
                <w:szCs w:val="24"/>
                <w:shd w:val="clear" w:fill="FFFFFF"/>
                <w:lang w:val="en-US" w:eastAsia="zh-CN" w:bidi="ar-SA"/>
              </w:rPr>
            </w:pPr>
            <w:r>
              <w:rPr>
                <w:rFonts w:hint="eastAsia" w:ascii="仿宋" w:hAnsi="仿宋" w:eastAsia="仿宋" w:cs="仿宋"/>
                <w:i w:val="0"/>
                <w:iCs w:val="0"/>
                <w:caps w:val="0"/>
                <w:color w:val="auto"/>
                <w:spacing w:val="0"/>
                <w:sz w:val="24"/>
                <w:szCs w:val="24"/>
                <w:shd w:val="clear" w:fill="FFFFFF"/>
                <w:lang w:val="en-US" w:eastAsia="zh-CN"/>
              </w:rPr>
              <w:t>检查型电子鼻咽喉镜EV-N全数字电子内镜图像处理系统不具备特殊光模式</w:t>
            </w:r>
          </w:p>
        </w:tc>
        <w:tc>
          <w:tcPr>
            <w:tcW w:w="3148"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kern w:val="2"/>
                <w:sz w:val="24"/>
                <w:szCs w:val="24"/>
                <w:shd w:val="clear" w:fill="FFFFFF"/>
                <w:lang w:val="en-US" w:eastAsia="zh-CN" w:bidi="ar-SA"/>
              </w:rPr>
            </w:pPr>
            <w:r>
              <w:rPr>
                <w:rFonts w:hint="eastAsia" w:ascii="仿宋" w:hAnsi="仿宋" w:eastAsia="仿宋" w:cs="仿宋"/>
                <w:i w:val="0"/>
                <w:iCs w:val="0"/>
                <w:caps w:val="0"/>
                <w:color w:val="auto"/>
                <w:spacing w:val="0"/>
                <w:sz w:val="24"/>
                <w:szCs w:val="24"/>
                <w:shd w:val="clear" w:fill="FFFFFF"/>
                <w:lang w:val="en-US" w:eastAsia="zh-CN"/>
              </w:rPr>
              <w:t>窄带光谱下的特殊光观察也称窄带成像技术（NBI）能够更清晰的看到粘膜的表面微结构包括微血管、微腺管，使内镜检查时对粘膜微结构形态显示得更加清楚，帮助医生准确、迅速地发现病灶，提高活检的准确率， 提升了对早期肿瘤的诊疗能力，使患者得到及时准确的诊断和治疗。。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408"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Style w:val="8"/>
                <w:rFonts w:hint="eastAsia" w:ascii="仿宋" w:hAnsi="仿宋" w:eastAsia="仿宋" w:cs="仿宋"/>
                <w:b w:val="0"/>
                <w:bCs w:val="0"/>
                <w:sz w:val="24"/>
                <w:szCs w:val="24"/>
                <w:lang w:val="en-US" w:eastAsia="zh-CN"/>
              </w:rPr>
            </w:pPr>
            <w:r>
              <w:rPr>
                <w:rStyle w:val="8"/>
                <w:rFonts w:hint="eastAsia" w:ascii="仿宋" w:hAnsi="仿宋" w:eastAsia="仿宋" w:cs="仿宋"/>
                <w:b w:val="0"/>
                <w:bCs w:val="0"/>
                <w:sz w:val="24"/>
                <w:szCs w:val="24"/>
                <w:lang w:val="en-US" w:eastAsia="zh-CN"/>
              </w:rPr>
              <w:t>2</w:t>
            </w:r>
          </w:p>
        </w:tc>
        <w:tc>
          <w:tcPr>
            <w:tcW w:w="1594" w:type="dxa"/>
            <w:tcBorders>
              <w:top w:val="single" w:color="auto" w:sz="4" w:space="0"/>
            </w:tcBorders>
            <w:vAlign w:val="center"/>
          </w:tcPr>
          <w:p>
            <w:pPr>
              <w:keepNext w:val="0"/>
              <w:keepLines w:val="0"/>
              <w:pageBreakBefore w:val="0"/>
              <w:widowControl/>
              <w:suppressLineNumbers w:val="0"/>
              <w:kinsoku/>
              <w:wordWrap/>
              <w:overflowPunct/>
              <w:topLinePunct w:val="0"/>
              <w:autoSpaceDE/>
              <w:autoSpaceDN/>
              <w:bidi w:val="0"/>
              <w:spacing w:line="400" w:lineRule="exact"/>
              <w:jc w:val="left"/>
              <w:rPr>
                <w:rFonts w:hint="eastAsia" w:ascii="仿宋" w:hAnsi="仿宋" w:eastAsia="仿宋" w:cs="仿宋"/>
                <w:i w:val="0"/>
                <w:iCs w:val="0"/>
                <w:caps w:val="0"/>
                <w:color w:val="auto"/>
                <w:spacing w:val="0"/>
                <w:kern w:val="2"/>
                <w:sz w:val="24"/>
                <w:szCs w:val="24"/>
                <w:shd w:val="clear" w:fill="FFFFFF"/>
                <w:lang w:val="en-US" w:eastAsia="zh-CN" w:bidi="ar-SA"/>
              </w:rPr>
            </w:pPr>
            <w:r>
              <w:rPr>
                <w:rStyle w:val="10"/>
                <w:rFonts w:hint="eastAsia" w:ascii="仿宋" w:hAnsi="仿宋" w:eastAsia="仿宋"/>
                <w:sz w:val="24"/>
                <w:szCs w:val="24"/>
                <w:lang w:val="en-US" w:eastAsia="zh-CN"/>
              </w:rPr>
              <w:t>镜子</w:t>
            </w:r>
            <w:r>
              <w:rPr>
                <w:rFonts w:hint="eastAsia" w:ascii="仿宋" w:hAnsi="仿宋" w:eastAsia="仿宋" w:cs="仿宋"/>
                <w:sz w:val="24"/>
                <w:szCs w:val="24"/>
              </w:rPr>
              <w:t>具有高分辨率成像功能：水平分辨率≥1080</w:t>
            </w:r>
            <w:r>
              <w:rPr>
                <w:rFonts w:hint="eastAsia" w:ascii="仿宋" w:hAnsi="仿宋" w:eastAsia="仿宋" w:cs="仿宋"/>
                <w:sz w:val="24"/>
                <w:szCs w:val="24"/>
                <w:lang w:val="en-US" w:eastAsia="zh-CN"/>
              </w:rPr>
              <w:t>线</w:t>
            </w:r>
            <w:r>
              <w:rPr>
                <w:rFonts w:hint="eastAsia" w:ascii="仿宋" w:hAnsi="仿宋" w:eastAsia="仿宋" w:cs="仿宋"/>
                <w:sz w:val="24"/>
                <w:szCs w:val="24"/>
              </w:rPr>
              <w:t>，为内窥镜</w:t>
            </w:r>
            <w:r>
              <w:rPr>
                <w:rFonts w:hint="eastAsia" w:ascii="仿宋" w:hAnsi="仿宋" w:eastAsia="仿宋" w:cs="仿宋"/>
                <w:sz w:val="24"/>
                <w:szCs w:val="24"/>
                <w:lang w:val="en-US" w:eastAsia="zh-CN"/>
              </w:rPr>
              <w:t>检查</w:t>
            </w:r>
            <w:r>
              <w:rPr>
                <w:rFonts w:hint="eastAsia" w:ascii="仿宋" w:hAnsi="仿宋" w:eastAsia="仿宋" w:cs="仿宋"/>
                <w:sz w:val="24"/>
                <w:szCs w:val="24"/>
              </w:rPr>
              <w:t>提供高清晰图像</w:t>
            </w:r>
          </w:p>
        </w:tc>
        <w:tc>
          <w:tcPr>
            <w:tcW w:w="2145"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kern w:val="2"/>
                <w:sz w:val="24"/>
                <w:szCs w:val="24"/>
                <w:shd w:val="clear" w:fill="FFFFFF"/>
                <w:lang w:val="en-US" w:eastAsia="zh-CN" w:bidi="ar-SA"/>
              </w:rPr>
            </w:pPr>
            <w:r>
              <w:rPr>
                <w:rFonts w:hint="eastAsia" w:ascii="仿宋" w:hAnsi="仿宋" w:eastAsia="仿宋" w:cs="仿宋"/>
                <w:i w:val="0"/>
                <w:iCs w:val="0"/>
                <w:caps w:val="0"/>
                <w:color w:val="auto"/>
                <w:spacing w:val="0"/>
                <w:sz w:val="24"/>
                <w:szCs w:val="24"/>
                <w:shd w:val="clear" w:fill="FFFFFF"/>
                <w:lang w:val="en-US" w:eastAsia="zh-CN"/>
              </w:rPr>
              <w:t>图像清晰度能实现1280*720的像素</w:t>
            </w:r>
          </w:p>
        </w:tc>
        <w:tc>
          <w:tcPr>
            <w:tcW w:w="2160"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kern w:val="2"/>
                <w:sz w:val="24"/>
                <w:szCs w:val="24"/>
                <w:shd w:val="clear" w:fill="FFFFFF"/>
                <w:lang w:val="en-US" w:eastAsia="zh-CN" w:bidi="ar-SA"/>
              </w:rPr>
            </w:pPr>
            <w:r>
              <w:rPr>
                <w:rFonts w:hint="eastAsia" w:ascii="仿宋" w:hAnsi="仿宋" w:eastAsia="仿宋" w:cs="仿宋"/>
                <w:i w:val="0"/>
                <w:iCs w:val="0"/>
                <w:caps w:val="0"/>
                <w:color w:val="auto"/>
                <w:spacing w:val="0"/>
                <w:sz w:val="24"/>
                <w:szCs w:val="24"/>
                <w:shd w:val="clear" w:fill="FFFFFF"/>
                <w:lang w:val="en-US" w:eastAsia="zh-CN"/>
              </w:rPr>
              <w:t>图像清晰度能实现1920*1080的像素</w:t>
            </w:r>
          </w:p>
        </w:tc>
        <w:tc>
          <w:tcPr>
            <w:tcW w:w="2078"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kern w:val="2"/>
                <w:sz w:val="24"/>
                <w:szCs w:val="24"/>
                <w:shd w:val="clear" w:fill="FFFFFF"/>
                <w:lang w:val="en-US" w:eastAsia="zh-CN" w:bidi="ar-SA"/>
              </w:rPr>
            </w:pPr>
            <w:r>
              <w:rPr>
                <w:rFonts w:hint="eastAsia" w:ascii="仿宋" w:hAnsi="仿宋" w:eastAsia="仿宋" w:cs="仿宋"/>
                <w:i w:val="0"/>
                <w:iCs w:val="0"/>
                <w:caps w:val="0"/>
                <w:color w:val="auto"/>
                <w:spacing w:val="0"/>
                <w:sz w:val="24"/>
                <w:szCs w:val="24"/>
                <w:shd w:val="clear" w:fill="FFFFFF"/>
                <w:lang w:val="en-US" w:eastAsia="zh-CN"/>
              </w:rPr>
              <w:t>图像清晰度能实现1280*720的像素</w:t>
            </w:r>
          </w:p>
        </w:tc>
        <w:tc>
          <w:tcPr>
            <w:tcW w:w="1860"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kern w:val="2"/>
                <w:sz w:val="24"/>
                <w:szCs w:val="24"/>
                <w:shd w:val="clear" w:fill="FFFFFF"/>
                <w:lang w:val="en-US" w:eastAsia="zh-CN" w:bidi="ar-SA"/>
              </w:rPr>
            </w:pPr>
            <w:r>
              <w:rPr>
                <w:rFonts w:hint="eastAsia" w:ascii="仿宋" w:hAnsi="仿宋" w:eastAsia="仿宋" w:cs="仿宋"/>
                <w:i w:val="0"/>
                <w:iCs w:val="0"/>
                <w:caps w:val="0"/>
                <w:color w:val="auto"/>
                <w:spacing w:val="0"/>
                <w:sz w:val="24"/>
                <w:szCs w:val="24"/>
                <w:shd w:val="clear" w:fill="FFFFFF"/>
                <w:lang w:val="en-US" w:eastAsia="zh-CN"/>
              </w:rPr>
              <w:t>图像清晰度能实现1920*1080的像素</w:t>
            </w:r>
          </w:p>
        </w:tc>
        <w:tc>
          <w:tcPr>
            <w:tcW w:w="3148"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kern w:val="2"/>
                <w:sz w:val="24"/>
                <w:szCs w:val="24"/>
                <w:shd w:val="clear" w:fill="FFFFFF"/>
                <w:lang w:val="en-US" w:eastAsia="zh-CN" w:bidi="ar-SA"/>
              </w:rPr>
            </w:pPr>
            <w:r>
              <w:rPr>
                <w:rFonts w:hint="eastAsia" w:ascii="仿宋" w:hAnsi="仿宋" w:eastAsia="仿宋" w:cs="仿宋"/>
                <w:color w:val="000000" w:themeColor="text1"/>
                <w:sz w:val="24"/>
                <w:szCs w:val="24"/>
                <w:shd w:val="clear" w:color="auto" w:fill="FFFFFF"/>
                <w:lang w:val="en-US" w:eastAsia="zh-CN"/>
                <w14:textFill>
                  <w14:solidFill>
                    <w14:schemeClr w14:val="tx1"/>
                  </w14:solidFill>
                </w14:textFill>
              </w:rPr>
              <w:t>高清晰的像素能在检查和治疗过程中避免漏诊和误诊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408"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Style w:val="8"/>
                <w:rFonts w:hint="eastAsia" w:ascii="仿宋" w:hAnsi="仿宋" w:eastAsia="仿宋" w:cs="仿宋"/>
                <w:b w:val="0"/>
                <w:bCs w:val="0"/>
                <w:sz w:val="24"/>
                <w:szCs w:val="24"/>
                <w:lang w:val="en-US" w:eastAsia="zh-CN"/>
              </w:rPr>
            </w:pPr>
            <w:r>
              <w:rPr>
                <w:rStyle w:val="8"/>
                <w:rFonts w:hint="eastAsia" w:ascii="仿宋" w:hAnsi="仿宋" w:eastAsia="仿宋" w:cs="仿宋"/>
                <w:b w:val="0"/>
                <w:bCs w:val="0"/>
                <w:sz w:val="24"/>
                <w:szCs w:val="24"/>
                <w:lang w:val="en-US" w:eastAsia="zh-CN"/>
              </w:rPr>
              <w:t>3</w:t>
            </w:r>
          </w:p>
        </w:tc>
        <w:tc>
          <w:tcPr>
            <w:tcW w:w="1594" w:type="dxa"/>
            <w:tcBorders>
              <w:top w:val="single" w:color="auto" w:sz="4" w:space="0"/>
            </w:tcBorders>
            <w:vAlign w:val="center"/>
          </w:tcPr>
          <w:p>
            <w:pPr>
              <w:keepNext w:val="0"/>
              <w:keepLines w:val="0"/>
              <w:pageBreakBefore w:val="0"/>
              <w:widowControl/>
              <w:suppressLineNumbers w:val="0"/>
              <w:kinsoku/>
              <w:wordWrap/>
              <w:overflowPunct/>
              <w:topLinePunct w:val="0"/>
              <w:autoSpaceDE/>
              <w:autoSpaceDN/>
              <w:bidi w:val="0"/>
              <w:spacing w:line="400" w:lineRule="exact"/>
              <w:jc w:val="left"/>
              <w:rPr>
                <w:rStyle w:val="10"/>
                <w:rFonts w:hint="eastAsia" w:ascii="仿宋" w:hAnsi="仿宋" w:eastAsia="仿宋"/>
                <w:sz w:val="24"/>
                <w:szCs w:val="24"/>
                <w:lang w:val="en-US" w:eastAsia="zh-CN"/>
              </w:rPr>
            </w:pPr>
            <w:r>
              <w:rPr>
                <w:rFonts w:hint="eastAsia" w:ascii="仿宋" w:hAnsi="仿宋" w:eastAsia="仿宋" w:cs="仿宋"/>
                <w:b w:val="0"/>
                <w:bCs/>
                <w:color w:val="000000"/>
                <w:kern w:val="0"/>
                <w:sz w:val="24"/>
                <w:szCs w:val="24"/>
                <w:lang w:val="en-US" w:eastAsia="zh-CN"/>
              </w:rPr>
              <w:t>能兼容频闪光源</w:t>
            </w:r>
          </w:p>
        </w:tc>
        <w:tc>
          <w:tcPr>
            <w:tcW w:w="2145"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不可兼容频闪光源</w:t>
            </w:r>
          </w:p>
        </w:tc>
        <w:tc>
          <w:tcPr>
            <w:tcW w:w="2160"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能兼容频闪光源</w:t>
            </w:r>
          </w:p>
        </w:tc>
        <w:tc>
          <w:tcPr>
            <w:tcW w:w="2078"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 xml:space="preserve">能兼容频闪光源  </w:t>
            </w:r>
          </w:p>
        </w:tc>
        <w:tc>
          <w:tcPr>
            <w:tcW w:w="1860"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不可兼容频闪光源</w:t>
            </w:r>
          </w:p>
        </w:tc>
        <w:tc>
          <w:tcPr>
            <w:tcW w:w="3148"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 w:hAnsi="仿宋" w:eastAsia="仿宋" w:cs="仿宋"/>
                <w:color w:val="000000" w:themeColor="text1"/>
                <w:sz w:val="24"/>
                <w:szCs w:val="24"/>
                <w:shd w:val="clear" w:color="auto" w:fill="FFFFFF"/>
                <w:lang w:val="en-US" w:eastAsia="zh-CN"/>
                <w14:textFill>
                  <w14:solidFill>
                    <w14:schemeClr w14:val="tx1"/>
                  </w14:solidFill>
                </w14:textFill>
              </w:rPr>
            </w:pPr>
            <w:r>
              <w:rPr>
                <w:rFonts w:hint="eastAsia" w:ascii="仿宋" w:hAnsi="仿宋" w:eastAsia="仿宋" w:cs="仿宋"/>
                <w:color w:val="000000" w:themeColor="text1"/>
                <w:sz w:val="24"/>
                <w:szCs w:val="24"/>
                <w:shd w:val="clear" w:color="auto" w:fill="FFFFFF"/>
                <w:lang w:val="en-US" w:eastAsia="zh-CN"/>
                <w14:textFill>
                  <w14:solidFill>
                    <w14:schemeClr w14:val="tx1"/>
                  </w14:solidFill>
                </w14:textFill>
              </w:rPr>
              <w:t>兼容频闪光源能实现软镜下的频闪喉镜检查，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3" w:hRule="atLeast"/>
          <w:jc w:val="center"/>
        </w:trPr>
        <w:tc>
          <w:tcPr>
            <w:tcW w:w="408" w:type="dxa"/>
            <w:vAlign w:val="center"/>
          </w:tcPr>
          <w:p>
            <w:pPr>
              <w:pageBreakBefore w:val="0"/>
              <w:widowControl/>
              <w:kinsoku/>
              <w:wordWrap/>
              <w:overflowPunct/>
              <w:topLinePunct w:val="0"/>
              <w:autoSpaceDE/>
              <w:autoSpaceDN/>
              <w:bidi w:val="0"/>
              <w:spacing w:line="400" w:lineRule="exact"/>
              <w:jc w:val="left"/>
              <w:rPr>
                <w:rStyle w:val="8"/>
                <w:rFonts w:hint="eastAsia" w:ascii="仿宋" w:hAnsi="仿宋" w:eastAsia="仿宋" w:cs="仿宋"/>
                <w:b w:val="0"/>
                <w:bCs w:val="0"/>
                <w:sz w:val="24"/>
                <w:szCs w:val="24"/>
                <w:lang w:val="en-US" w:eastAsia="zh-CN"/>
              </w:rPr>
            </w:pPr>
            <w:r>
              <w:rPr>
                <w:rStyle w:val="8"/>
                <w:rFonts w:hint="eastAsia" w:ascii="仿宋" w:hAnsi="仿宋" w:eastAsia="仿宋" w:cs="仿宋"/>
                <w:b w:val="0"/>
                <w:bCs w:val="0"/>
                <w:sz w:val="24"/>
                <w:szCs w:val="24"/>
                <w:lang w:val="en-US" w:eastAsia="zh-CN"/>
              </w:rPr>
              <w:t>4</w:t>
            </w:r>
          </w:p>
        </w:tc>
        <w:tc>
          <w:tcPr>
            <w:tcW w:w="1594" w:type="dxa"/>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要求</w:t>
            </w:r>
            <w:r>
              <w:rPr>
                <w:rFonts w:hint="eastAsia" w:ascii="仿宋" w:hAnsi="仿宋" w:eastAsia="仿宋" w:cs="仿宋"/>
                <w:b w:val="0"/>
                <w:bCs w:val="0"/>
                <w:sz w:val="24"/>
                <w:szCs w:val="24"/>
                <w:highlight w:val="none"/>
                <w:lang w:val="en-US" w:eastAsia="zh-CN"/>
              </w:rPr>
              <w:t>电子鼻咽喉镜可</w:t>
            </w:r>
            <w:r>
              <w:rPr>
                <w:rFonts w:hint="eastAsia" w:ascii="仿宋" w:hAnsi="仿宋" w:eastAsia="仿宋" w:cs="仿宋"/>
                <w:i w:val="0"/>
                <w:iCs w:val="0"/>
                <w:caps w:val="0"/>
                <w:color w:val="auto"/>
                <w:spacing w:val="0"/>
                <w:sz w:val="24"/>
                <w:szCs w:val="24"/>
                <w:shd w:val="clear" w:fill="FFFFFF"/>
                <w:lang w:val="en-US" w:eastAsia="zh-CN"/>
              </w:rPr>
              <w:t>与科室现有的主机系统匹配</w:t>
            </w:r>
          </w:p>
        </w:tc>
        <w:tc>
          <w:tcPr>
            <w:tcW w:w="2145" w:type="dxa"/>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检查型电子鼻咽喉镜不可与科室现有的奥林巴斯、艾克松主机配套使用。</w:t>
            </w:r>
          </w:p>
        </w:tc>
        <w:tc>
          <w:tcPr>
            <w:tcW w:w="2160" w:type="dxa"/>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检查型电子鼻咽喉镜可以与科室现有的奥林巴斯主机配套使用。</w:t>
            </w:r>
          </w:p>
        </w:tc>
        <w:tc>
          <w:tcPr>
            <w:tcW w:w="2078" w:type="dxa"/>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检查型电子鼻咽喉镜不可与科室现有的奥林巴斯、STORZ、艾克松主机配套使用。</w:t>
            </w:r>
          </w:p>
        </w:tc>
        <w:tc>
          <w:tcPr>
            <w:tcW w:w="1860" w:type="dxa"/>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治疗型电子鼻咽喉镜不可与科室现有的艾克松主机配套使用。</w:t>
            </w:r>
          </w:p>
        </w:tc>
        <w:tc>
          <w:tcPr>
            <w:tcW w:w="314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color w:val="000000" w:themeColor="text1"/>
                <w:sz w:val="24"/>
                <w:szCs w:val="24"/>
                <w:shd w:val="clear" w:color="auto" w:fill="FFFFFF"/>
                <w:lang w:val="en-US" w:eastAsia="zh-CN"/>
                <w14:textFill>
                  <w14:solidFill>
                    <w14:schemeClr w14:val="tx1"/>
                  </w14:solidFill>
                </w14:textFill>
              </w:rPr>
              <w:t>目前原有的电子鼻咽喉镜已远不能满足病人的需求，此次采购的电子鼻咽喉镜作为配套产品，需配合</w:t>
            </w:r>
            <w:r>
              <w:rPr>
                <w:rFonts w:hint="eastAsia" w:ascii="仿宋" w:hAnsi="仿宋" w:eastAsia="仿宋" w:cs="仿宋"/>
                <w:i w:val="0"/>
                <w:iCs w:val="0"/>
                <w:caps w:val="0"/>
                <w:color w:val="auto"/>
                <w:spacing w:val="0"/>
                <w:sz w:val="24"/>
                <w:szCs w:val="24"/>
                <w:shd w:val="clear" w:fill="FFFFFF"/>
                <w:lang w:val="en-US" w:eastAsia="zh-CN"/>
              </w:rPr>
              <w:t>现有的奥林巴斯、STORZ、艾克松主机配套使用。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jc w:val="center"/>
        </w:trPr>
        <w:tc>
          <w:tcPr>
            <w:tcW w:w="408" w:type="dxa"/>
            <w:vAlign w:val="center"/>
          </w:tcPr>
          <w:p>
            <w:pPr>
              <w:pageBreakBefore w:val="0"/>
              <w:widowControl/>
              <w:kinsoku/>
              <w:wordWrap/>
              <w:overflowPunct/>
              <w:topLinePunct w:val="0"/>
              <w:autoSpaceDE/>
              <w:autoSpaceDN/>
              <w:bidi w:val="0"/>
              <w:spacing w:line="400" w:lineRule="exact"/>
              <w:jc w:val="left"/>
              <w:rPr>
                <w:rStyle w:val="8"/>
                <w:rFonts w:hint="default" w:ascii="仿宋" w:hAnsi="仿宋" w:eastAsia="仿宋" w:cs="仿宋"/>
                <w:b w:val="0"/>
                <w:bCs w:val="0"/>
                <w:sz w:val="24"/>
                <w:szCs w:val="24"/>
                <w:lang w:val="en-US" w:eastAsia="zh-CN"/>
              </w:rPr>
            </w:pPr>
            <w:r>
              <w:rPr>
                <w:rStyle w:val="8"/>
                <w:rFonts w:hint="eastAsia" w:ascii="仿宋" w:hAnsi="仿宋" w:eastAsia="仿宋" w:cs="仿宋"/>
                <w:b w:val="0"/>
                <w:bCs w:val="0"/>
                <w:sz w:val="24"/>
                <w:szCs w:val="24"/>
                <w:lang w:val="en-US" w:eastAsia="zh-CN"/>
              </w:rPr>
              <w:t>5</w:t>
            </w:r>
          </w:p>
        </w:tc>
        <w:tc>
          <w:tcPr>
            <w:tcW w:w="1594" w:type="dxa"/>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b w:val="0"/>
                <w:bCs/>
                <w:color w:val="000000"/>
                <w:kern w:val="0"/>
                <w:sz w:val="24"/>
                <w:szCs w:val="24"/>
                <w:lang w:val="en-US" w:eastAsia="zh-CN"/>
              </w:rPr>
              <w:t>先端</w:t>
            </w:r>
            <w:r>
              <w:rPr>
                <w:rFonts w:hint="eastAsia" w:ascii="仿宋" w:hAnsi="仿宋" w:eastAsia="仿宋" w:cs="仿宋"/>
                <w:b w:val="0"/>
                <w:bCs/>
                <w:color w:val="000000"/>
                <w:kern w:val="0"/>
                <w:sz w:val="24"/>
                <w:szCs w:val="24"/>
              </w:rPr>
              <w:t>部外径≤ Ф2.6mm</w:t>
            </w:r>
          </w:p>
        </w:tc>
        <w:tc>
          <w:tcPr>
            <w:tcW w:w="2145" w:type="dxa"/>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先端部外径为3.9mm远超2.6mm</w:t>
            </w:r>
          </w:p>
        </w:tc>
        <w:tc>
          <w:tcPr>
            <w:tcW w:w="2160" w:type="dxa"/>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b w:val="0"/>
                <w:bCs/>
                <w:color w:val="000000"/>
                <w:kern w:val="0"/>
                <w:sz w:val="24"/>
                <w:szCs w:val="24"/>
                <w:lang w:val="en-US" w:eastAsia="zh-CN"/>
              </w:rPr>
              <w:t>先端</w:t>
            </w:r>
            <w:r>
              <w:rPr>
                <w:rFonts w:hint="eastAsia" w:ascii="仿宋" w:hAnsi="仿宋" w:eastAsia="仿宋" w:cs="仿宋"/>
                <w:b w:val="0"/>
                <w:bCs/>
                <w:color w:val="000000"/>
                <w:kern w:val="0"/>
                <w:sz w:val="24"/>
                <w:szCs w:val="24"/>
              </w:rPr>
              <w:t>部外径</w:t>
            </w:r>
            <w:r>
              <w:rPr>
                <w:rFonts w:hint="eastAsia" w:ascii="仿宋" w:hAnsi="仿宋" w:eastAsia="仿宋" w:cs="仿宋"/>
                <w:b w:val="0"/>
                <w:bCs/>
                <w:color w:val="000000"/>
                <w:kern w:val="0"/>
                <w:sz w:val="24"/>
                <w:szCs w:val="24"/>
                <w:lang w:val="en-US" w:eastAsia="zh-CN"/>
              </w:rPr>
              <w:t>为</w:t>
            </w:r>
            <w:r>
              <w:rPr>
                <w:rFonts w:hint="eastAsia" w:ascii="仿宋" w:hAnsi="仿宋" w:eastAsia="仿宋" w:cs="仿宋"/>
                <w:b w:val="0"/>
                <w:bCs/>
                <w:color w:val="000000"/>
                <w:kern w:val="0"/>
                <w:sz w:val="24"/>
                <w:szCs w:val="24"/>
              </w:rPr>
              <w:t xml:space="preserve"> 2.6mm</w:t>
            </w:r>
          </w:p>
        </w:tc>
        <w:tc>
          <w:tcPr>
            <w:tcW w:w="2078" w:type="dxa"/>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先端部外径为3.8mm不满足条件</w:t>
            </w:r>
          </w:p>
        </w:tc>
        <w:tc>
          <w:tcPr>
            <w:tcW w:w="1860" w:type="dxa"/>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先端部外径为2.5mm满足条件</w:t>
            </w:r>
          </w:p>
        </w:tc>
        <w:tc>
          <w:tcPr>
            <w:tcW w:w="314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 w:hAnsi="仿宋" w:eastAsia="仿宋" w:cs="仿宋"/>
                <w:color w:val="000000" w:themeColor="text1"/>
                <w:sz w:val="24"/>
                <w:szCs w:val="24"/>
                <w:shd w:val="clear" w:color="auto" w:fill="FFFFFF"/>
                <w:lang w:val="en-US" w:eastAsia="zh-CN"/>
                <w14:textFill>
                  <w14:solidFill>
                    <w14:schemeClr w14:val="tx1"/>
                  </w14:solidFill>
                </w14:textFill>
              </w:rPr>
            </w:pPr>
            <w:r>
              <w:rPr>
                <w:rFonts w:hint="eastAsia" w:ascii="仿宋" w:hAnsi="仿宋" w:eastAsia="仿宋" w:cs="仿宋"/>
                <w:color w:val="000000" w:themeColor="text1"/>
                <w:sz w:val="24"/>
                <w:szCs w:val="24"/>
                <w:shd w:val="clear" w:color="auto" w:fill="FFFFFF"/>
                <w:lang w:val="en-US" w:eastAsia="zh-CN"/>
                <w14:textFill>
                  <w14:solidFill>
                    <w14:schemeClr w14:val="tx1"/>
                  </w14:solidFill>
                </w14:textFill>
              </w:rPr>
              <w:t>先端部外径的越小给病人做检查时候病人的敏感度越低有助于病人配合，病人的难受程度越低，有助于提高检查的舒适度</w:t>
            </w:r>
          </w:p>
        </w:tc>
      </w:tr>
    </w:tbl>
    <w:p>
      <w:pPr>
        <w:pageBreakBefore w:val="0"/>
        <w:kinsoku/>
        <w:wordWrap/>
        <w:overflowPunct/>
        <w:topLinePunct w:val="0"/>
        <w:autoSpaceDE/>
        <w:autoSpaceDN/>
        <w:bidi w:val="0"/>
        <w:spacing w:line="400" w:lineRule="exact"/>
        <w:rPr>
          <w:rStyle w:val="10"/>
          <w:rFonts w:ascii="仿宋" w:hAnsi="仿宋" w:eastAsia="仿宋"/>
          <w:sz w:val="24"/>
          <w:szCs w:val="24"/>
        </w:rPr>
      </w:pPr>
      <w:r>
        <w:rPr>
          <w:rStyle w:val="10"/>
          <w:rFonts w:ascii="仿宋" w:hAnsi="仿宋" w:eastAsia="仿宋"/>
          <w:sz w:val="24"/>
          <w:szCs w:val="24"/>
        </w:rPr>
        <w:t>三、需求调查过程</w:t>
      </w:r>
    </w:p>
    <w:p>
      <w:pPr>
        <w:pageBreakBefore w:val="0"/>
        <w:kinsoku/>
        <w:wordWrap/>
        <w:overflowPunct/>
        <w:topLinePunct w:val="0"/>
        <w:autoSpaceDE/>
        <w:autoSpaceDN/>
        <w:bidi w:val="0"/>
        <w:spacing w:line="400" w:lineRule="exact"/>
        <w:ind w:firstLine="480" w:firstLineChars="200"/>
        <w:rPr>
          <w:rFonts w:hint="eastAsia"/>
        </w:rPr>
      </w:pPr>
      <w:r>
        <w:rPr>
          <w:rFonts w:hint="eastAsia" w:ascii="仿宋" w:hAnsi="仿宋" w:eastAsia="仿宋" w:cs="仿宋"/>
          <w:sz w:val="24"/>
          <w:szCs w:val="24"/>
        </w:rPr>
        <w:t>我院</w:t>
      </w:r>
      <w:r>
        <w:rPr>
          <w:rFonts w:hint="eastAsia" w:ascii="仿宋" w:hAnsi="仿宋" w:eastAsia="仿宋" w:cs="仿宋"/>
          <w:color w:val="auto"/>
          <w:sz w:val="24"/>
          <w:szCs w:val="24"/>
          <w:lang w:val="en-US" w:eastAsia="zh-CN"/>
        </w:rPr>
        <w:t>按照政府采购法律法规要求于2023年 6月 2日发布了设备采购意向公示，公开征集有意向的厂家或供货商主动参与。为确保在调研论证时能囊括大部分市场主流国内外品牌，在公开征集调研对象时，均设置基础公共参数作为标准。经充分公开征集，于2023年8 月18 日</w:t>
      </w:r>
      <w:r>
        <w:rPr>
          <w:rFonts w:hint="eastAsia" w:ascii="仿宋" w:hAnsi="仿宋" w:eastAsia="仿宋" w:cs="仿宋"/>
          <w:color w:val="auto"/>
          <w:kern w:val="0"/>
          <w:sz w:val="24"/>
          <w:szCs w:val="24"/>
        </w:rPr>
        <w:t>在医院鲤城院区门诊大楼十楼第三会议室公开组织现场设备论证询价会，由医院主要领导、设备科、审计、采管办、</w:t>
      </w:r>
      <w:r>
        <w:rPr>
          <w:rFonts w:hint="eastAsia" w:ascii="仿宋" w:hAnsi="仿宋" w:eastAsia="仿宋" w:cs="仿宋"/>
          <w:color w:val="auto"/>
          <w:kern w:val="0"/>
          <w:sz w:val="24"/>
          <w:szCs w:val="24"/>
          <w:lang w:val="en-US" w:eastAsia="zh-CN"/>
        </w:rPr>
        <w:t>耳</w:t>
      </w:r>
      <w:r>
        <w:rPr>
          <w:rFonts w:hint="eastAsia" w:ascii="仿宋" w:hAnsi="仿宋" w:eastAsia="仿宋" w:cs="仿宋"/>
          <w:color w:val="auto"/>
          <w:sz w:val="24"/>
          <w:szCs w:val="24"/>
          <w:lang w:val="en-US" w:eastAsia="zh-CN"/>
        </w:rPr>
        <w:t>鼻喉</w:t>
      </w:r>
      <w:r>
        <w:rPr>
          <w:rFonts w:hint="eastAsia" w:ascii="仿宋" w:hAnsi="仿宋" w:eastAsia="仿宋" w:cs="仿宋"/>
          <w:color w:val="auto"/>
          <w:sz w:val="24"/>
          <w:szCs w:val="24"/>
        </w:rPr>
        <w:t>科</w:t>
      </w:r>
      <w:r>
        <w:rPr>
          <w:rFonts w:hint="eastAsia" w:ascii="仿宋" w:hAnsi="仿宋" w:eastAsia="仿宋" w:cs="仿宋"/>
          <w:color w:val="auto"/>
          <w:kern w:val="0"/>
          <w:sz w:val="24"/>
          <w:szCs w:val="24"/>
        </w:rPr>
        <w:t>等</w:t>
      </w:r>
      <w:r>
        <w:rPr>
          <w:rFonts w:hint="eastAsia" w:ascii="仿宋" w:hAnsi="仿宋" w:eastAsia="仿宋" w:cs="仿宋"/>
          <w:color w:val="auto"/>
          <w:kern w:val="0"/>
          <w:sz w:val="24"/>
          <w:szCs w:val="24"/>
          <w:lang w:val="en-US" w:eastAsia="zh-CN"/>
        </w:rPr>
        <w:t>专家</w:t>
      </w:r>
      <w:r>
        <w:rPr>
          <w:rFonts w:hint="eastAsia" w:ascii="仿宋" w:hAnsi="仿宋" w:eastAsia="仿宋" w:cs="仿宋"/>
          <w:color w:val="auto"/>
          <w:kern w:val="0"/>
          <w:sz w:val="24"/>
          <w:szCs w:val="24"/>
        </w:rPr>
        <w:t>组成的联合谈判小组与供应商、厂家进行面对面谈判询价，参与现场谈判的企业品牌有</w:t>
      </w:r>
      <w:r>
        <w:rPr>
          <w:rFonts w:hint="eastAsia" w:ascii="仿宋" w:hAnsi="仿宋" w:eastAsia="仿宋" w:cs="仿宋"/>
          <w:color w:val="auto"/>
          <w:kern w:val="0"/>
          <w:sz w:val="24"/>
          <w:szCs w:val="24"/>
          <w:lang w:val="en-US" w:eastAsia="zh-CN"/>
        </w:rPr>
        <w:t>艾克松</w:t>
      </w:r>
      <w:r>
        <w:rPr>
          <w:rFonts w:hint="eastAsia" w:ascii="仿宋" w:hAnsi="仿宋" w:eastAsia="仿宋" w:cs="仿宋"/>
          <w:color w:val="auto"/>
          <w:kern w:val="0"/>
          <w:sz w:val="24"/>
          <w:szCs w:val="24"/>
        </w:rPr>
        <w:t>、奥林巴斯、</w:t>
      </w:r>
      <w:r>
        <w:rPr>
          <w:rFonts w:hint="eastAsia" w:ascii="仿宋" w:hAnsi="仿宋" w:eastAsia="仿宋" w:cs="仿宋"/>
          <w:color w:val="auto"/>
          <w:kern w:val="0"/>
          <w:sz w:val="24"/>
          <w:szCs w:val="24"/>
          <w:lang w:val="en-US" w:eastAsia="zh-CN"/>
        </w:rPr>
        <w:t>ATMOS</w:t>
      </w:r>
      <w:r>
        <w:rPr>
          <w:rFonts w:hint="eastAsia" w:ascii="仿宋" w:hAnsi="仿宋" w:eastAsia="仿宋" w:cs="仿宋"/>
          <w:color w:val="auto"/>
          <w:kern w:val="0"/>
          <w:sz w:val="24"/>
          <w:szCs w:val="24"/>
        </w:rPr>
        <w:t>。</w:t>
      </w:r>
    </w:p>
    <w:p>
      <w:pPr>
        <w:pageBreakBefore w:val="0"/>
        <w:kinsoku/>
        <w:wordWrap/>
        <w:overflowPunct/>
        <w:topLinePunct w:val="0"/>
        <w:autoSpaceDE/>
        <w:autoSpaceDN/>
        <w:bidi w:val="0"/>
        <w:spacing w:line="400" w:lineRule="exact"/>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四、调查结论</w:t>
      </w:r>
    </w:p>
    <w:p>
      <w:pPr>
        <w:pageBreakBefore w:val="0"/>
        <w:kinsoku/>
        <w:wordWrap/>
        <w:overflowPunct/>
        <w:topLinePunct w:val="0"/>
        <w:autoSpaceDE/>
        <w:autoSpaceDN/>
        <w:bidi w:val="0"/>
        <w:spacing w:line="400" w:lineRule="exact"/>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医院设备科和耳鼻喉科前期通过多种渠道和方式了解各品牌的性能、配置、可拓展性及操作便捷性，医院组织的多部门共同参加的邀约公开现场谈判。对参与谈判的奥林巴斯、艾克松、ATMOS三家品牌从企业资质、产品法定治疗功能范围、性能配置、用户、交易价格、售后服务方面进行面对面沟通谈判。综合对比评价，只有奥林巴斯的配套电子鼻咽喉镜可与现有科室主机进行匹配使用，并且完全满足耳鼻喉科科实际采购需求和后续发展需要。</w:t>
      </w:r>
    </w:p>
    <w:p>
      <w:pPr>
        <w:pageBreakBefore w:val="0"/>
        <w:kinsoku/>
        <w:wordWrap/>
        <w:overflowPunct/>
        <w:topLinePunct w:val="0"/>
        <w:autoSpaceDE/>
        <w:autoSpaceDN/>
        <w:bidi w:val="0"/>
        <w:spacing w:line="400" w:lineRule="exact"/>
        <w:ind w:firstLine="480" w:firstLineChars="200"/>
        <w:rPr>
          <w:rStyle w:val="10"/>
          <w:rFonts w:ascii="仿宋" w:hAnsi="仿宋" w:eastAsia="仿宋"/>
          <w:sz w:val="24"/>
          <w:szCs w:val="24"/>
        </w:rPr>
      </w:pPr>
      <w:r>
        <w:rPr>
          <w:rStyle w:val="10"/>
          <w:rFonts w:ascii="仿宋" w:hAnsi="仿宋" w:eastAsia="仿宋"/>
          <w:sz w:val="24"/>
          <w:szCs w:val="24"/>
        </w:rPr>
        <w:t>五、调查结果承诺</w:t>
      </w:r>
    </w:p>
    <w:p>
      <w:pPr>
        <w:pageBreakBefore w:val="0"/>
        <w:kinsoku/>
        <w:wordWrap/>
        <w:overflowPunct/>
        <w:topLinePunct w:val="0"/>
        <w:autoSpaceDE/>
        <w:autoSpaceDN/>
        <w:bidi w:val="0"/>
        <w:spacing w:line="400" w:lineRule="exact"/>
        <w:ind w:firstLine="480" w:firstLineChars="200"/>
        <w:rPr>
          <w:rStyle w:val="10"/>
          <w:rFonts w:ascii="仿宋" w:hAnsi="仿宋" w:eastAsia="仿宋"/>
          <w:sz w:val="24"/>
          <w:szCs w:val="24"/>
        </w:rPr>
      </w:pPr>
      <w:r>
        <w:rPr>
          <w:rStyle w:val="10"/>
          <w:rFonts w:ascii="仿宋" w:hAnsi="仿宋" w:eastAsia="仿宋"/>
          <w:sz w:val="24"/>
          <w:szCs w:val="24"/>
        </w:rPr>
        <w:t>承诺上述需求调查内容真实有效，无虚假情况，本单位对此报告内容真实性负责。</w:t>
      </w:r>
    </w:p>
    <w:p>
      <w:pPr>
        <w:pageBreakBefore w:val="0"/>
        <w:numPr>
          <w:ilvl w:val="0"/>
          <w:numId w:val="3"/>
        </w:numPr>
        <w:kinsoku/>
        <w:wordWrap/>
        <w:overflowPunct/>
        <w:topLinePunct w:val="0"/>
        <w:autoSpaceDE/>
        <w:autoSpaceDN/>
        <w:bidi w:val="0"/>
        <w:spacing w:line="400" w:lineRule="exact"/>
        <w:ind w:firstLine="480" w:firstLineChars="200"/>
        <w:rPr>
          <w:rStyle w:val="10"/>
          <w:rFonts w:ascii="仿宋" w:hAnsi="仿宋" w:eastAsia="仿宋"/>
          <w:color w:val="auto"/>
          <w:sz w:val="24"/>
          <w:szCs w:val="24"/>
        </w:rPr>
      </w:pPr>
      <w:r>
        <w:rPr>
          <w:rStyle w:val="10"/>
          <w:rFonts w:ascii="仿宋" w:hAnsi="仿宋" w:eastAsia="仿宋"/>
          <w:color w:val="auto"/>
          <w:sz w:val="24"/>
          <w:szCs w:val="24"/>
        </w:rPr>
        <w:t>附件</w:t>
      </w:r>
    </w:p>
    <w:p>
      <w:pPr>
        <w:rPr>
          <w:rFonts w:hint="eastAsia"/>
          <w:lang w:val="en-US" w:eastAsia="zh-CN"/>
        </w:rPr>
        <w:sectPr>
          <w:footerReference r:id="rId3" w:type="default"/>
          <w:pgSz w:w="16840" w:h="11910" w:orient="landscape"/>
          <w:pgMar w:top="1032" w:right="1389" w:bottom="862" w:left="1400" w:header="0" w:footer="522" w:gutter="0"/>
          <w:pgNumType w:fmt="numberInDash"/>
          <w:cols w:space="0" w:num="1"/>
          <w:rtlGutter w:val="0"/>
          <w:docGrid w:linePitch="0" w:charSpace="0"/>
        </w:sectPr>
      </w:pPr>
    </w:p>
    <w:p>
      <w:pPr>
        <w:pStyle w:val="2"/>
        <w:rPr>
          <w:rFonts w:hint="eastAsia" w:eastAsia="黑体"/>
          <w:lang w:eastAsia="zh-CN"/>
        </w:rPr>
      </w:pPr>
      <w:r>
        <w:rPr>
          <w:rFonts w:hint="eastAsia" w:eastAsia="黑体"/>
          <w:lang w:eastAsia="zh-CN"/>
        </w:rPr>
        <w:drawing>
          <wp:inline distT="0" distB="0" distL="114300" distR="114300">
            <wp:extent cx="4133850" cy="5838825"/>
            <wp:effectExtent l="0" t="0" r="0" b="9525"/>
            <wp:docPr id="6" name="图片 6" descr="dc726a896e2bd92d377aa48550b3f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c726a896e2bd92d377aa48550b3fab"/>
                    <pic:cNvPicPr>
                      <a:picLocks noChangeAspect="1"/>
                    </pic:cNvPicPr>
                  </pic:nvPicPr>
                  <pic:blipFill>
                    <a:blip r:embed="rId6"/>
                    <a:stretch>
                      <a:fillRect/>
                    </a:stretch>
                  </pic:blipFill>
                  <pic:spPr>
                    <a:xfrm>
                      <a:off x="0" y="0"/>
                      <a:ext cx="4133850" cy="5838825"/>
                    </a:xfrm>
                    <a:prstGeom prst="rect">
                      <a:avLst/>
                    </a:prstGeom>
                  </pic:spPr>
                </pic:pic>
              </a:graphicData>
            </a:graphic>
          </wp:inline>
        </w:drawing>
      </w:r>
    </w:p>
    <w:p>
      <w:pPr>
        <w:rPr>
          <w:rFonts w:hint="eastAsia"/>
          <w:lang w:eastAsia="zh-CN"/>
        </w:rPr>
      </w:pPr>
      <w:r>
        <w:rPr>
          <w:rFonts w:hint="eastAsia"/>
          <w:lang w:eastAsia="zh-CN"/>
        </w:rPr>
        <w:drawing>
          <wp:inline distT="0" distB="0" distL="114300" distR="114300">
            <wp:extent cx="4133850" cy="5838825"/>
            <wp:effectExtent l="0" t="0" r="0" b="9525"/>
            <wp:docPr id="7" name="图片 7" descr="c3d55a3b46903549ab29dfaf54155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3d55a3b46903549ab29dfaf541553c"/>
                    <pic:cNvPicPr>
                      <a:picLocks noChangeAspect="1"/>
                    </pic:cNvPicPr>
                  </pic:nvPicPr>
                  <pic:blipFill>
                    <a:blip r:embed="rId7"/>
                    <a:stretch>
                      <a:fillRect/>
                    </a:stretch>
                  </pic:blipFill>
                  <pic:spPr>
                    <a:xfrm>
                      <a:off x="0" y="0"/>
                      <a:ext cx="4133850" cy="5838825"/>
                    </a:xfrm>
                    <a:prstGeom prst="rect">
                      <a:avLst/>
                    </a:prstGeom>
                  </pic:spPr>
                </pic:pic>
              </a:graphicData>
            </a:graphic>
          </wp:inline>
        </w:drawing>
      </w:r>
    </w:p>
    <w:p>
      <w:pPr>
        <w:rPr>
          <w:rFonts w:hint="eastAsia" w:eastAsia="黑体"/>
          <w:lang w:eastAsia="zh-CN"/>
        </w:rPr>
      </w:pPr>
      <w:r>
        <w:rPr>
          <w:rFonts w:hint="eastAsia" w:eastAsia="黑体"/>
          <w:lang w:eastAsia="zh-CN"/>
        </w:rPr>
        <w:drawing>
          <wp:inline distT="0" distB="0" distL="114300" distR="114300">
            <wp:extent cx="4133850" cy="5838825"/>
            <wp:effectExtent l="0" t="0" r="0" b="9525"/>
            <wp:docPr id="9" name="图片 9" descr="810a57cb7ee64d7a1c09cd4a29ded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10a57cb7ee64d7a1c09cd4a29dedd4"/>
                    <pic:cNvPicPr>
                      <a:picLocks noChangeAspect="1"/>
                    </pic:cNvPicPr>
                  </pic:nvPicPr>
                  <pic:blipFill>
                    <a:blip r:embed="rId8"/>
                    <a:stretch>
                      <a:fillRect/>
                    </a:stretch>
                  </pic:blipFill>
                  <pic:spPr>
                    <a:xfrm>
                      <a:off x="0" y="0"/>
                      <a:ext cx="4133850" cy="5838825"/>
                    </a:xfrm>
                    <a:prstGeom prst="rect">
                      <a:avLst/>
                    </a:prstGeom>
                  </pic:spPr>
                </pic:pic>
              </a:graphicData>
            </a:graphic>
          </wp:inline>
        </w:drawing>
      </w:r>
      <w:bookmarkStart w:id="0" w:name="_GoBack"/>
      <w:bookmarkEnd w:id="0"/>
    </w:p>
    <w:p>
      <w:pPr>
        <w:rPr>
          <w:rStyle w:val="10"/>
          <w:rFonts w:hint="eastAsia" w:ascii="仿宋" w:hAnsi="仿宋" w:eastAsia="仿宋"/>
          <w:color w:val="FF0000"/>
          <w:sz w:val="24"/>
          <w:szCs w:val="24"/>
          <w:lang w:eastAsia="zh-CN"/>
        </w:rPr>
      </w:pPr>
      <w:r>
        <w:rPr>
          <w:rFonts w:hint="eastAsia" w:eastAsia="黑体"/>
          <w:lang w:eastAsia="zh-CN"/>
        </w:rPr>
        <w:drawing>
          <wp:inline distT="0" distB="0" distL="114300" distR="114300">
            <wp:extent cx="8296910" cy="5842000"/>
            <wp:effectExtent l="0" t="0" r="8890" b="6350"/>
            <wp:docPr id="8" name="图片 8" descr="169414417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694144173471"/>
                    <pic:cNvPicPr>
                      <a:picLocks noChangeAspect="1"/>
                    </pic:cNvPicPr>
                  </pic:nvPicPr>
                  <pic:blipFill>
                    <a:blip r:embed="rId9"/>
                    <a:stretch>
                      <a:fillRect/>
                    </a:stretch>
                  </pic:blipFill>
                  <pic:spPr>
                    <a:xfrm>
                      <a:off x="0" y="0"/>
                      <a:ext cx="8296910" cy="5842000"/>
                    </a:xfrm>
                    <a:prstGeom prst="rect">
                      <a:avLst/>
                    </a:prstGeom>
                  </pic:spPr>
                </pic:pic>
              </a:graphicData>
            </a:graphic>
          </wp:inline>
        </w:drawing>
      </w:r>
    </w:p>
    <w:sectPr>
      <w:footerReference r:id="rId4" w:type="default"/>
      <w:pgSz w:w="16838" w:h="11906" w:orient="landscape"/>
      <w:pgMar w:top="1349" w:right="1270" w:bottom="1349" w:left="127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A67CFB"/>
    <w:multiLevelType w:val="singleLevel"/>
    <w:tmpl w:val="A2A67CFB"/>
    <w:lvl w:ilvl="0" w:tentative="0">
      <w:start w:val="6"/>
      <w:numFmt w:val="chineseCounting"/>
      <w:suff w:val="nothing"/>
      <w:lvlText w:val="%1、"/>
      <w:lvlJc w:val="left"/>
      <w:rPr>
        <w:rFonts w:hint="eastAsia"/>
      </w:rPr>
    </w:lvl>
  </w:abstractNum>
  <w:abstractNum w:abstractNumId="1">
    <w:nsid w:val="2BDEBB80"/>
    <w:multiLevelType w:val="singleLevel"/>
    <w:tmpl w:val="2BDEBB80"/>
    <w:lvl w:ilvl="0" w:tentative="0">
      <w:start w:val="2"/>
      <w:numFmt w:val="chineseCounting"/>
      <w:suff w:val="nothing"/>
      <w:lvlText w:val="%1、"/>
      <w:lvlJc w:val="left"/>
      <w:rPr>
        <w:rFonts w:hint="eastAsia"/>
      </w:rPr>
    </w:lvl>
  </w:abstractNum>
  <w:abstractNum w:abstractNumId="2">
    <w:nsid w:val="65A448A8"/>
    <w:multiLevelType w:val="singleLevel"/>
    <w:tmpl w:val="65A448A8"/>
    <w:lvl w:ilvl="0" w:tentative="0">
      <w:start w:val="2"/>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1NTViZTkzNzc4ODNlOWQyNzMyYTE2N2FhNTZiOGEifQ=="/>
  </w:docVars>
  <w:rsids>
    <w:rsidRoot w:val="009A65BE"/>
    <w:rsid w:val="000045F3"/>
    <w:rsid w:val="00080515"/>
    <w:rsid w:val="00093F6A"/>
    <w:rsid w:val="000F392F"/>
    <w:rsid w:val="000F5D36"/>
    <w:rsid w:val="001A3C65"/>
    <w:rsid w:val="001C39F3"/>
    <w:rsid w:val="001D3544"/>
    <w:rsid w:val="001F1725"/>
    <w:rsid w:val="002C1ACD"/>
    <w:rsid w:val="002D2636"/>
    <w:rsid w:val="0033645F"/>
    <w:rsid w:val="003748E9"/>
    <w:rsid w:val="00387A18"/>
    <w:rsid w:val="003C54A5"/>
    <w:rsid w:val="003F0B50"/>
    <w:rsid w:val="004053FB"/>
    <w:rsid w:val="004151F5"/>
    <w:rsid w:val="004A2A8D"/>
    <w:rsid w:val="004B6048"/>
    <w:rsid w:val="00577099"/>
    <w:rsid w:val="00601DDF"/>
    <w:rsid w:val="0066262A"/>
    <w:rsid w:val="00670175"/>
    <w:rsid w:val="006810DE"/>
    <w:rsid w:val="006826A5"/>
    <w:rsid w:val="006E26B6"/>
    <w:rsid w:val="006E36DE"/>
    <w:rsid w:val="00704A60"/>
    <w:rsid w:val="00754EF5"/>
    <w:rsid w:val="007A6569"/>
    <w:rsid w:val="007F6C84"/>
    <w:rsid w:val="008103A1"/>
    <w:rsid w:val="00817DB8"/>
    <w:rsid w:val="0085106A"/>
    <w:rsid w:val="00862828"/>
    <w:rsid w:val="008C08ED"/>
    <w:rsid w:val="008E029D"/>
    <w:rsid w:val="009A65BE"/>
    <w:rsid w:val="009B0378"/>
    <w:rsid w:val="009D3C38"/>
    <w:rsid w:val="00A149F6"/>
    <w:rsid w:val="00A22696"/>
    <w:rsid w:val="00AC650D"/>
    <w:rsid w:val="00AE5E74"/>
    <w:rsid w:val="00B03D6A"/>
    <w:rsid w:val="00B25F73"/>
    <w:rsid w:val="00B51E0C"/>
    <w:rsid w:val="00B66FEE"/>
    <w:rsid w:val="00B6702E"/>
    <w:rsid w:val="00B705CE"/>
    <w:rsid w:val="00BE4A94"/>
    <w:rsid w:val="00C03EDA"/>
    <w:rsid w:val="00C34411"/>
    <w:rsid w:val="00CB4A92"/>
    <w:rsid w:val="00CD0936"/>
    <w:rsid w:val="00D04AD5"/>
    <w:rsid w:val="00D35535"/>
    <w:rsid w:val="00DA3F2D"/>
    <w:rsid w:val="00DA5F7E"/>
    <w:rsid w:val="00DC3DCF"/>
    <w:rsid w:val="00DE51A3"/>
    <w:rsid w:val="00E07349"/>
    <w:rsid w:val="00E252D1"/>
    <w:rsid w:val="00E27737"/>
    <w:rsid w:val="00E87F8B"/>
    <w:rsid w:val="00ED4266"/>
    <w:rsid w:val="00EE1193"/>
    <w:rsid w:val="00FB1DCF"/>
    <w:rsid w:val="00FE0367"/>
    <w:rsid w:val="01AF08B3"/>
    <w:rsid w:val="0D126B44"/>
    <w:rsid w:val="0FD75AED"/>
    <w:rsid w:val="121C674C"/>
    <w:rsid w:val="12B04A66"/>
    <w:rsid w:val="1D8E3BF5"/>
    <w:rsid w:val="209C5CFB"/>
    <w:rsid w:val="233C72DD"/>
    <w:rsid w:val="254A15A5"/>
    <w:rsid w:val="27CF1229"/>
    <w:rsid w:val="31DE2F46"/>
    <w:rsid w:val="3798542F"/>
    <w:rsid w:val="383D43A7"/>
    <w:rsid w:val="397321C6"/>
    <w:rsid w:val="3AD05835"/>
    <w:rsid w:val="437B23A2"/>
    <w:rsid w:val="51BF29B4"/>
    <w:rsid w:val="5A276556"/>
    <w:rsid w:val="5B8A5BFF"/>
    <w:rsid w:val="5DD62B9F"/>
    <w:rsid w:val="60C131D1"/>
    <w:rsid w:val="683F0072"/>
    <w:rsid w:val="71454C52"/>
    <w:rsid w:val="721D27C5"/>
    <w:rsid w:val="76963947"/>
    <w:rsid w:val="783358BC"/>
    <w:rsid w:val="7D755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Calibri" w:hAnsi="Calibri" w:eastAsia="宋体" w:cs="Times New Roman"/>
      <w:kern w:val="2"/>
      <w:sz w:val="21"/>
      <w:szCs w:val="22"/>
      <w:lang w:val="en-US" w:eastAsia="zh-CN" w:bidi="ar-SA"/>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1"/>
    <w:rPr>
      <w:rFonts w:ascii="宋体" w:hAnsi="宋体" w:eastAsia="宋体" w:cs="宋体"/>
      <w:sz w:val="24"/>
      <w:szCs w:val="24"/>
      <w:lang w:val="zh-CN" w:eastAsia="zh-CN" w:bidi="zh-CN"/>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qFormat/>
    <w:uiPriority w:val="0"/>
    <w:rPr>
      <w:b/>
      <w:bCs/>
    </w:rPr>
  </w:style>
  <w:style w:type="paragraph" w:customStyle="1" w:styleId="9">
    <w:name w:val="UserStyle_0"/>
    <w:basedOn w:val="1"/>
    <w:qFormat/>
    <w:uiPriority w:val="0"/>
    <w:rPr>
      <w:rFonts w:eastAsia="仿宋_GB2312"/>
      <w:kern w:val="28"/>
      <w:sz w:val="24"/>
      <w:szCs w:val="20"/>
    </w:rPr>
  </w:style>
  <w:style w:type="character" w:customStyle="1" w:styleId="10">
    <w:name w:val="NormalCharacter"/>
    <w:semiHidden/>
    <w:qFormat/>
    <w:uiPriority w:val="0"/>
  </w:style>
  <w:style w:type="table" w:customStyle="1" w:styleId="11">
    <w:name w:val="TableNormal"/>
    <w:semiHidden/>
    <w:qFormat/>
    <w:uiPriority w:val="0"/>
    <w:tblPr>
      <w:tblCellMar>
        <w:top w:w="0" w:type="dxa"/>
        <w:left w:w="0" w:type="dxa"/>
        <w:bottom w:w="0" w:type="dxa"/>
        <w:right w:w="0" w:type="dxa"/>
      </w:tblCellMar>
    </w:tblPr>
  </w:style>
  <w:style w:type="table" w:customStyle="1" w:styleId="12">
    <w:name w:val="TableGrid"/>
    <w:basedOn w:val="11"/>
    <w:qFormat/>
    <w:uiPriority w:val="0"/>
  </w:style>
  <w:style w:type="character" w:customStyle="1" w:styleId="13">
    <w:name w:val="UserStyle_1"/>
    <w:semiHidden/>
    <w:qFormat/>
    <w:uiPriority w:val="0"/>
    <w:rPr>
      <w:rFonts w:ascii="Calibri" w:hAnsi="Calibri" w:eastAsia="宋体"/>
      <w:kern w:val="2"/>
      <w:sz w:val="21"/>
      <w:szCs w:val="22"/>
      <w:lang w:val="en-US" w:eastAsia="zh-CN" w:bidi="ar-SA"/>
    </w:rPr>
  </w:style>
  <w:style w:type="paragraph" w:customStyle="1" w:styleId="14">
    <w:name w:val="UserStyle_2"/>
    <w:basedOn w:val="1"/>
    <w:qFormat/>
    <w:uiPriority w:val="0"/>
    <w:pPr>
      <w:spacing w:before="100" w:beforeAutospacing="1" w:after="100" w:afterAutospacing="1"/>
      <w:jc w:val="left"/>
    </w:pPr>
    <w:rPr>
      <w:kern w:val="0"/>
      <w:sz w:val="24"/>
      <w:szCs w:val="24"/>
    </w:rPr>
  </w:style>
  <w:style w:type="character" w:customStyle="1" w:styleId="15">
    <w:name w:val="页眉 字符"/>
    <w:basedOn w:val="7"/>
    <w:link w:val="5"/>
    <w:qFormat/>
    <w:uiPriority w:val="99"/>
    <w:rPr>
      <w:kern w:val="2"/>
      <w:sz w:val="18"/>
      <w:szCs w:val="18"/>
    </w:rPr>
  </w:style>
  <w:style w:type="character" w:customStyle="1" w:styleId="16">
    <w:name w:val="页脚 字符"/>
    <w:basedOn w:val="7"/>
    <w:link w:val="4"/>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2CE943-DCF8-44C1-B8BB-79E470938613}">
  <ds:schemaRefs/>
</ds:datastoreItem>
</file>

<file path=docProps/app.xml><?xml version="1.0" encoding="utf-8"?>
<Properties xmlns="http://schemas.openxmlformats.org/officeDocument/2006/extended-properties" xmlns:vt="http://schemas.openxmlformats.org/officeDocument/2006/docPropsVTypes">
  <Template>Normal</Template>
  <Pages>9</Pages>
  <Words>2565</Words>
  <Characters>3112</Characters>
  <Lines>29</Lines>
  <Paragraphs>8</Paragraphs>
  <TotalTime>5</TotalTime>
  <ScaleCrop>false</ScaleCrop>
  <LinksUpToDate>false</LinksUpToDate>
  <CharactersWithSpaces>3141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2022-04-06T09:33:00Z</dcterms:created>
  <dc:creator>Zhang Michael</dc:creator>
  <cp:lastModifiedBy>Administrator</cp:lastModifiedBy>
  <dcterms:modified xsi:type="dcterms:W3CDTF">2023-09-11T01:32:08Z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53FF978C02344502A87AEFC303E2F8FE_13</vt:lpwstr>
  </property>
</Properties>
</file>