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0"/>
          <w:szCs w:val="48"/>
        </w:rPr>
      </w:pPr>
      <w:r>
        <w:rPr>
          <w:rFonts w:hint="eastAsia"/>
          <w:b/>
          <w:bCs/>
          <w:sz w:val="40"/>
          <w:szCs w:val="48"/>
        </w:rPr>
        <w:t>福建医科大学附属第二医院关于消化内镜中心</w:t>
      </w:r>
    </w:p>
    <w:p>
      <w:pPr>
        <w:jc w:val="center"/>
        <w:rPr>
          <w:b/>
          <w:bCs/>
          <w:sz w:val="40"/>
          <w:szCs w:val="48"/>
        </w:rPr>
      </w:pPr>
      <w:r>
        <w:rPr>
          <w:rFonts w:hint="eastAsia"/>
          <w:b/>
          <w:bCs/>
          <w:sz w:val="40"/>
          <w:szCs w:val="48"/>
        </w:rPr>
        <w:t>电子内镜系统等设备品牌需求调研报告</w:t>
      </w:r>
    </w:p>
    <w:p>
      <w:pPr>
        <w:rPr>
          <w:rFonts w:ascii="仿宋_GB2312" w:hAnsi="宋体" w:eastAsia="仿宋_GB2312" w:cs="宋体"/>
          <w:sz w:val="32"/>
          <w:szCs w:val="32"/>
        </w:rPr>
      </w:pPr>
      <w:r>
        <w:rPr>
          <w:rFonts w:hint="eastAsia" w:ascii="仿宋_GB2312" w:hAnsi="宋体" w:eastAsia="仿宋_GB2312" w:cs="宋体"/>
          <w:sz w:val="32"/>
          <w:szCs w:val="32"/>
        </w:rPr>
        <w:t>一、采购项目基本情况</w:t>
      </w:r>
    </w:p>
    <w:p>
      <w:pPr>
        <w:ind w:firstLine="640" w:firstLineChars="200"/>
        <w:rPr>
          <w:rFonts w:ascii="仿宋" w:hAnsi="仿宋" w:eastAsia="仿宋" w:cs="仿宋"/>
          <w:sz w:val="32"/>
          <w:szCs w:val="32"/>
        </w:rPr>
      </w:pPr>
      <w:r>
        <w:rPr>
          <w:rFonts w:hint="eastAsia" w:ascii="仿宋" w:hAnsi="仿宋" w:eastAsia="仿宋" w:cs="仿宋"/>
          <w:sz w:val="32"/>
          <w:szCs w:val="32"/>
        </w:rPr>
        <w:t>我院</w:t>
      </w:r>
      <w:r>
        <w:rPr>
          <w:rFonts w:hint="eastAsia" w:ascii="仿宋" w:hAnsi="仿宋" w:eastAsia="仿宋" w:cs="仿宋"/>
          <w:sz w:val="32"/>
          <w:szCs w:val="32"/>
          <w:lang w:val="en-US" w:eastAsia="zh-CN"/>
        </w:rPr>
        <w:t>为省级区域医疗中心，普通外科为国家及省级重点专科。</w:t>
      </w:r>
      <w:r>
        <w:rPr>
          <w:rFonts w:hint="eastAsia" w:ascii="仿宋" w:hAnsi="仿宋" w:eastAsia="仿宋" w:cs="仿宋"/>
          <w:sz w:val="32"/>
          <w:szCs w:val="32"/>
        </w:rPr>
        <w:t>日常内镜检查量和手术量也在省内名列前茅，每年完成消化内镜诊疗达4万多例。其中，消化内镜下的复杂手术如ESD、ERCP等手术量逐年递增，手术技术水平稳步提升。此次“</w:t>
      </w:r>
      <w:r>
        <w:rPr>
          <w:rFonts w:hint="eastAsia" w:ascii="仿宋_GB2312" w:hAnsi="宋体" w:eastAsia="仿宋_GB2312" w:cs="宋体"/>
          <w:sz w:val="32"/>
          <w:szCs w:val="32"/>
        </w:rPr>
        <w:t>高清胃肠镜系统</w:t>
      </w:r>
      <w:r>
        <w:rPr>
          <w:rFonts w:hint="eastAsia" w:ascii="仿宋" w:hAnsi="仿宋" w:eastAsia="仿宋" w:cs="仿宋"/>
          <w:sz w:val="32"/>
          <w:szCs w:val="32"/>
        </w:rPr>
        <w:t>设备采购项目”所申请的全部设备都用于我院消化内镜中心的胃肠镜检查、诊疗需要。</w:t>
      </w:r>
    </w:p>
    <w:p>
      <w:pPr>
        <w:ind w:firstLine="640" w:firstLineChars="200"/>
        <w:rPr>
          <w:rFonts w:ascii="仿宋" w:hAnsi="仿宋" w:eastAsia="仿宋_GB2312" w:cs="仿宋"/>
          <w:sz w:val="32"/>
          <w:szCs w:val="32"/>
        </w:rPr>
      </w:pPr>
      <w:r>
        <w:rPr>
          <w:rFonts w:hint="eastAsia" w:ascii="仿宋" w:hAnsi="仿宋" w:eastAsia="仿宋" w:cs="仿宋"/>
          <w:sz w:val="32"/>
          <w:szCs w:val="32"/>
        </w:rPr>
        <w:t>我省属于胃癌、结直肠癌发病率高发地区，近些年来老百姓对于胃肠镜检查的需求日益增加，慕名来我院预约胃肠镜检查和治疗的患者也逐年增加，患者量的逐年递增也造成了科室在现有条件下，设备周转不及时，制约了日常内镜检查诊疗量的增长。预约内镜检查诊疗时间过长，影响了患者对医院的满意度；同时，有些患者因预约检查时间过长，错过了发现病情的最佳时机，耽误了后续治疗，给生命健康造成了影响。特别是</w:t>
      </w:r>
      <w:r>
        <w:rPr>
          <w:rFonts w:hint="eastAsia" w:ascii="仿宋_GB2312" w:hAnsi="宋体" w:eastAsia="仿宋_GB2312" w:cs="宋体"/>
          <w:sz w:val="32"/>
          <w:szCs w:val="32"/>
        </w:rPr>
        <w:t>消化道早癌的发现，可以大大提升患者5年存活率，同时可以极大减轻患者和国家医保的负担。据调查研究，消化道早癌在内镜下平均治疗费用不超过3万；若早癌未能及时发现，发展成消化道癌中晚期，外科手术费用加上术后放化疗及靶向药物治疗等费用，治疗总费用预计要达到30万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为缩短患者消化内镜检查治疗的预约周期，并且保障胃肠镜检查顺利、安全进行，提高消化道早癌的检出率，消化内镜中心申请购买新的电子内镜系统1套、电子胃镜</w:t>
      </w:r>
      <w:r>
        <w:rPr>
          <w:rFonts w:hint="eastAsia" w:ascii="仿宋" w:hAnsi="仿宋" w:eastAsia="仿宋" w:cs="仿宋"/>
          <w:sz w:val="32"/>
          <w:szCs w:val="32"/>
          <w:lang w:val="en-US" w:eastAsia="zh-CN"/>
        </w:rPr>
        <w:t>4</w:t>
      </w:r>
      <w:r>
        <w:rPr>
          <w:rFonts w:hint="eastAsia" w:ascii="仿宋" w:hAnsi="仿宋" w:eastAsia="仿宋" w:cs="仿宋"/>
          <w:sz w:val="32"/>
          <w:szCs w:val="32"/>
        </w:rPr>
        <w:t>根、电子肠镜</w:t>
      </w:r>
      <w:r>
        <w:rPr>
          <w:rFonts w:hint="eastAsia" w:ascii="仿宋" w:hAnsi="仿宋" w:eastAsia="仿宋" w:cs="仿宋"/>
          <w:sz w:val="32"/>
          <w:szCs w:val="32"/>
          <w:lang w:val="en-US" w:eastAsia="zh-CN"/>
        </w:rPr>
        <w:t>2</w:t>
      </w:r>
      <w:r>
        <w:rPr>
          <w:rFonts w:hint="eastAsia" w:ascii="仿宋" w:hAnsi="仿宋" w:eastAsia="仿宋" w:cs="仿宋"/>
          <w:sz w:val="32"/>
          <w:szCs w:val="32"/>
        </w:rPr>
        <w:t>根。</w:t>
      </w:r>
    </w:p>
    <w:p>
      <w:pPr>
        <w:ind w:firstLine="640" w:firstLineChars="200"/>
        <w:rPr>
          <w:rFonts w:hint="eastAsia"/>
        </w:rPr>
      </w:pPr>
      <w:r>
        <w:rPr>
          <w:rFonts w:hint="eastAsia" w:ascii="仿宋" w:hAnsi="仿宋" w:eastAsia="仿宋" w:cs="仿宋"/>
          <w:sz w:val="32"/>
          <w:szCs w:val="32"/>
        </w:rPr>
        <w:t>本次拟购设备为电子胃肠镜系统，已于202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月经医院院长办公会议研究并提交院党委会讨论审定通过，预算金额为</w:t>
      </w:r>
      <w:r>
        <w:rPr>
          <w:rFonts w:hint="eastAsia" w:ascii="仿宋" w:hAnsi="仿宋" w:eastAsia="仿宋" w:cs="仿宋"/>
          <w:sz w:val="32"/>
          <w:szCs w:val="32"/>
          <w:lang w:val="en-US" w:eastAsia="zh-CN"/>
        </w:rPr>
        <w:t>306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资金来源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由医院自筹。</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二、采购需求调查</w:t>
      </w:r>
    </w:p>
    <w:p>
      <w:pPr>
        <w:ind w:firstLine="640" w:firstLineChars="200"/>
        <w:rPr>
          <w:rFonts w:hint="eastAsia" w:ascii="仿宋_GB2312" w:hAnsi="宋体" w:eastAsia="仿宋_GB2312" w:cs="宋体"/>
          <w:sz w:val="32"/>
          <w:szCs w:val="32"/>
          <w:lang w:val="en-US"/>
        </w:rPr>
      </w:pPr>
      <w:r>
        <w:rPr>
          <w:rFonts w:hint="eastAsia" w:ascii="仿宋_GB2312" w:hAnsi="宋体" w:eastAsia="仿宋_GB2312" w:cs="宋体"/>
          <w:sz w:val="32"/>
          <w:szCs w:val="32"/>
        </w:rPr>
        <w:t>1.</w:t>
      </w:r>
      <w:bookmarkStart w:id="0" w:name="_Hlk97756702"/>
      <w:r>
        <w:rPr>
          <w:rFonts w:hint="eastAsia" w:ascii="仿宋_GB2312" w:hAnsi="宋体" w:eastAsia="仿宋_GB2312" w:cs="宋体"/>
          <w:sz w:val="32"/>
          <w:szCs w:val="32"/>
        </w:rPr>
        <w:t>经与使用科室充分沟通，确认本次拟采购设备需具备如下标准</w:t>
      </w:r>
      <w:bookmarkEnd w:id="0"/>
      <w:r>
        <w:rPr>
          <w:rFonts w:hint="eastAsia" w:ascii="仿宋_GB2312" w:hAnsi="宋体" w:eastAsia="仿宋_GB2312" w:cs="宋体"/>
          <w:sz w:val="32"/>
          <w:szCs w:val="32"/>
        </w:rPr>
        <w:t>：</w:t>
      </w:r>
      <w:r>
        <w:rPr>
          <w:rFonts w:hint="eastAsia" w:ascii="仿宋" w:hAnsi="仿宋" w:eastAsia="仿宋" w:cs="宋体"/>
          <w:sz w:val="32"/>
          <w:szCs w:val="32"/>
        </w:rPr>
        <w:t>①</w:t>
      </w:r>
      <w:r>
        <w:rPr>
          <w:rFonts w:hint="eastAsia" w:ascii="仿宋_GB2312" w:hAnsi="宋体" w:eastAsia="仿宋_GB2312" w:cs="宋体"/>
          <w:sz w:val="32"/>
          <w:szCs w:val="32"/>
        </w:rPr>
        <w:t>电子内镜系统需</w:t>
      </w:r>
      <w:r>
        <w:rPr>
          <w:rFonts w:hint="eastAsia" w:ascii="仿宋_GB2312" w:hAnsi="宋体" w:eastAsia="仿宋_GB2312" w:cs="宋体"/>
          <w:sz w:val="32"/>
          <w:szCs w:val="32"/>
          <w:lang w:val="en-US" w:eastAsia="zh-CN"/>
        </w:rPr>
        <w:t>具备拓展兼容小肠镜。才能P-J综合征小肠息肉的治疗、克罗恩病小肠狭窄扩张术治疗、小肠血管性病变的治疗、小肠异物取出术②高清胃镜先端外径≤</w:t>
      </w:r>
      <w:r>
        <w:rPr>
          <w:rFonts w:hint="default" w:ascii="仿宋_GB2312" w:hAnsi="宋体" w:eastAsia="仿宋_GB2312" w:cs="宋体"/>
          <w:sz w:val="32"/>
          <w:szCs w:val="32"/>
          <w:lang w:val="en-US" w:eastAsia="zh-CN"/>
        </w:rPr>
        <w:t>9</w:t>
      </w:r>
      <w:r>
        <w:rPr>
          <w:rFonts w:hint="eastAsia" w:ascii="仿宋_GB2312" w:hAnsi="宋体" w:eastAsia="仿宋_GB2312" w:cs="宋体"/>
          <w:sz w:val="32"/>
          <w:szCs w:val="32"/>
          <w:lang w:val="en-US" w:eastAsia="zh-CN"/>
        </w:rPr>
        <w:t>mm</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lang w:val="en-US" w:eastAsia="zh-CN"/>
        </w:rPr>
        <w:t>且同时钳道内径</w:t>
      </w:r>
      <w:r>
        <w:rPr>
          <w:rFonts w:hint="default" w:ascii="仿宋_GB2312" w:hAnsi="宋体" w:eastAsia="仿宋_GB2312" w:cs="宋体"/>
          <w:sz w:val="32"/>
          <w:szCs w:val="32"/>
          <w:lang w:val="en-US" w:eastAsia="zh-CN"/>
        </w:rPr>
        <w:t>≥2</w:t>
      </w:r>
      <w:r>
        <w:rPr>
          <w:rFonts w:hint="eastAsia" w:ascii="仿宋_GB2312" w:hAnsi="宋体" w:eastAsia="仿宋_GB2312" w:cs="宋体"/>
          <w:sz w:val="32"/>
          <w:szCs w:val="32"/>
          <w:lang w:val="en-US" w:eastAsia="zh-CN"/>
        </w:rPr>
        <w:t>.</w:t>
      </w:r>
      <w:r>
        <w:rPr>
          <w:rFonts w:hint="default" w:ascii="仿宋_GB2312" w:hAnsi="宋体" w:eastAsia="仿宋_GB2312" w:cs="宋体"/>
          <w:sz w:val="32"/>
          <w:szCs w:val="32"/>
          <w:lang w:val="en-US" w:eastAsia="zh-CN"/>
        </w:rPr>
        <w:t>8</w:t>
      </w:r>
      <w:r>
        <w:rPr>
          <w:rFonts w:hint="eastAsia" w:ascii="仿宋_GB2312" w:hAnsi="宋体" w:eastAsia="仿宋_GB2312" w:cs="宋体"/>
          <w:sz w:val="32"/>
          <w:szCs w:val="32"/>
          <w:lang w:val="en-US" w:eastAsia="zh-CN"/>
        </w:rPr>
        <w:t>mm。可以在食管等较为狭窄的部位打角度操作，避免漏诊</w:t>
      </w:r>
      <w:r>
        <w:rPr>
          <w:rFonts w:hint="default" w:ascii="仿宋_GB2312" w:hAnsi="宋体" w:eastAsia="仿宋_GB2312" w:cs="宋体"/>
          <w:sz w:val="32"/>
          <w:szCs w:val="32"/>
          <w:lang w:eastAsia="zh-CN"/>
        </w:rPr>
        <w:t>。</w:t>
      </w:r>
      <w:r>
        <w:rPr>
          <w:rFonts w:hint="eastAsia" w:ascii="仿宋_GB2312" w:hAnsi="宋体" w:eastAsia="仿宋_GB2312" w:cs="宋体"/>
          <w:sz w:val="32"/>
          <w:szCs w:val="32"/>
        </w:rPr>
        <w:t>③ 电子内镜系统需</w:t>
      </w:r>
      <w:r>
        <w:rPr>
          <w:rFonts w:hint="eastAsia" w:ascii="仿宋_GB2312" w:hAnsi="宋体" w:eastAsia="仿宋_GB2312" w:cs="宋体"/>
          <w:sz w:val="32"/>
          <w:szCs w:val="32"/>
          <w:lang w:val="en-US" w:eastAsia="zh-CN"/>
        </w:rPr>
        <w:t>具备拓展兼容双钳道内镜功能</w:t>
      </w:r>
      <w:r>
        <w:rPr>
          <w:rFonts w:hint="eastAsia" w:ascii="仿宋_GB2312" w:hAnsi="宋体" w:eastAsia="仿宋_GB2312" w:cs="宋体"/>
          <w:sz w:val="32"/>
          <w:szCs w:val="32"/>
        </w:rPr>
        <w:t>。</w:t>
      </w:r>
      <w:r>
        <w:rPr>
          <w:rFonts w:hint="eastAsia"/>
          <w:spacing w:val="-6"/>
        </w:rPr>
        <w:t>可</w:t>
      </w:r>
      <w:r>
        <w:rPr>
          <w:rFonts w:hint="eastAsia" w:ascii="仿宋_GB2312" w:hAnsi="宋体" w:eastAsia="仿宋_GB2312" w:cs="宋体"/>
          <w:sz w:val="32"/>
          <w:szCs w:val="32"/>
          <w:lang w:val="en-US" w:eastAsia="zh-CN"/>
        </w:rPr>
        <w:t>同时插入不同的治疗器械，既可减少术中附件更换频率，又可扩展治疗范围。临床应用对于复杂异物的疑难病例取出；消化道壁缝合手术以及超声小探头诊断的应用，双钳道内镜可以同时插入不同的治疗器械，协调操作。</w:t>
      </w:r>
      <w:r>
        <w:rPr>
          <w:rFonts w:hint="eastAsia" w:ascii="仿宋_GB2312" w:hAnsi="宋体" w:eastAsia="仿宋_GB2312" w:cs="宋体"/>
          <w:sz w:val="32"/>
          <w:szCs w:val="32"/>
        </w:rPr>
        <w:t>④</w:t>
      </w:r>
      <w:r>
        <w:rPr>
          <w:rFonts w:hint="eastAsia" w:ascii="仿宋_GB2312" w:hAnsi="宋体" w:eastAsia="仿宋_GB2312" w:cs="宋体"/>
          <w:sz w:val="32"/>
          <w:szCs w:val="32"/>
          <w:lang w:val="en-US"/>
        </w:rPr>
        <w:t>高清电子胃镜能提供手柄处具有快捷按钮</w:t>
      </w:r>
      <w:r>
        <w:rPr>
          <w:rFonts w:hint="default" w:ascii="仿宋_GB2312" w:hAnsi="宋体" w:eastAsia="仿宋_GB2312" w:cs="宋体"/>
          <w:sz w:val="32"/>
          <w:szCs w:val="32"/>
          <w:lang w:val="en-US"/>
        </w:rPr>
        <w:t>≥</w:t>
      </w:r>
      <w:r>
        <w:rPr>
          <w:rFonts w:hint="default" w:ascii="仿宋_GB2312" w:hAnsi="宋体" w:eastAsia="仿宋_GB2312" w:cs="宋体"/>
          <w:sz w:val="32"/>
          <w:szCs w:val="32"/>
        </w:rPr>
        <w:t>5</w:t>
      </w:r>
      <w:r>
        <w:rPr>
          <w:rFonts w:hint="eastAsia" w:ascii="仿宋_GB2312" w:hAnsi="宋体" w:eastAsia="仿宋_GB2312" w:cs="宋体"/>
          <w:sz w:val="32"/>
          <w:szCs w:val="32"/>
          <w:lang w:val="en-US"/>
        </w:rPr>
        <w:t>个以上</w:t>
      </w:r>
      <w:r>
        <w:rPr>
          <w:rFonts w:hint="default" w:ascii="仿宋_GB2312" w:hAnsi="宋体" w:eastAsia="仿宋_GB2312" w:cs="宋体"/>
          <w:sz w:val="32"/>
          <w:szCs w:val="32"/>
        </w:rPr>
        <w:t>。</w:t>
      </w:r>
      <w:r>
        <w:rPr>
          <w:rFonts w:hint="eastAsia"/>
          <w:spacing w:val="-6"/>
          <w:lang w:val="en-US"/>
        </w:rPr>
        <w:t>手</w:t>
      </w:r>
      <w:r>
        <w:rPr>
          <w:rFonts w:hint="eastAsia" w:ascii="仿宋_GB2312" w:hAnsi="宋体" w:eastAsia="仿宋_GB2312" w:cs="宋体"/>
          <w:sz w:val="32"/>
          <w:szCs w:val="32"/>
          <w:lang w:val="en-US" w:eastAsia="zh-CN"/>
        </w:rPr>
        <w:t>柄处快捷按钮更多</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lang w:val="en-US" w:eastAsia="zh-CN"/>
        </w:rPr>
        <w:t>可以设置更多检查功能</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lang w:val="en-US" w:eastAsia="zh-CN"/>
        </w:rPr>
        <w:t>医生提前根据操作习惯及病人情况</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lang w:val="en-US" w:eastAsia="zh-CN"/>
        </w:rPr>
        <w:t>操作过程中更迅速调用</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lang w:val="en-US" w:eastAsia="zh-CN"/>
        </w:rPr>
        <w:t>减少漏诊及操作时间</w:t>
      </w:r>
      <w:r>
        <w:rPr>
          <w:rFonts w:hint="default" w:ascii="仿宋_GB2312" w:hAnsi="宋体" w:eastAsia="仿宋_GB2312" w:cs="宋体"/>
          <w:sz w:val="32"/>
          <w:szCs w:val="32"/>
          <w:lang w:val="en-US" w:eastAsia="zh-CN"/>
        </w:rPr>
        <w:t>。</w:t>
      </w:r>
      <w:r>
        <w:rPr>
          <w:rFonts w:hint="eastAsia" w:ascii="仿宋_GB2312" w:hAnsi="宋体" w:eastAsia="仿宋_GB2312" w:cs="宋体"/>
          <w:sz w:val="32"/>
          <w:szCs w:val="32"/>
        </w:rPr>
        <w:t>⑤</w:t>
      </w:r>
      <w:r>
        <w:rPr>
          <w:rFonts w:hint="eastAsia" w:ascii="仿宋_GB2312" w:hAnsi="宋体" w:eastAsia="仿宋_GB2312" w:cs="宋体"/>
          <w:sz w:val="32"/>
          <w:szCs w:val="32"/>
          <w:lang w:val="en-US"/>
        </w:rPr>
        <w:t>高清电子胃镜具有双焦距功能</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可以一键切换双焦距</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仅需按下内镜一个按钮</w:t>
      </w:r>
      <w:r>
        <w:rPr>
          <w:rFonts w:hint="default" w:ascii="仿宋_GB2312" w:hAnsi="宋体" w:eastAsia="仿宋_GB2312" w:cs="宋体"/>
          <w:sz w:val="32"/>
          <w:szCs w:val="32"/>
          <w:lang w:val="en-US"/>
        </w:rPr>
        <w:t>，</w:t>
      </w:r>
      <w:r>
        <w:rPr>
          <w:rFonts w:hint="eastAsia" w:ascii="仿宋_GB2312" w:hAnsi="宋体" w:eastAsia="仿宋_GB2312" w:cs="宋体"/>
          <w:sz w:val="32"/>
          <w:szCs w:val="32"/>
          <w:lang w:val="en-US"/>
        </w:rPr>
        <w:t>切换常规焦距和近焦</w:t>
      </w:r>
      <w:r>
        <w:rPr>
          <w:rFonts w:hint="default" w:ascii="仿宋_GB2312" w:hAnsi="宋体" w:eastAsia="仿宋_GB2312" w:cs="宋体"/>
          <w:sz w:val="32"/>
          <w:szCs w:val="32"/>
          <w:lang w:val="en-US"/>
        </w:rPr>
        <w:t>，</w:t>
      </w:r>
      <w:r>
        <w:rPr>
          <w:rFonts w:hint="eastAsia" w:ascii="仿宋_GB2312" w:hAnsi="宋体" w:eastAsia="仿宋_GB2312" w:cs="宋体"/>
          <w:sz w:val="32"/>
          <w:szCs w:val="32"/>
          <w:lang w:val="en-US"/>
        </w:rPr>
        <w:t>更加方便检查中发现疑似病灶可以直接诊断</w:t>
      </w:r>
      <w:r>
        <w:rPr>
          <w:rFonts w:hint="default" w:ascii="仿宋_GB2312" w:hAnsi="宋体" w:eastAsia="仿宋_GB2312" w:cs="宋体"/>
          <w:sz w:val="32"/>
          <w:szCs w:val="32"/>
          <w:lang w:val="en-US"/>
        </w:rPr>
        <w:t>，</w:t>
      </w:r>
      <w:r>
        <w:rPr>
          <w:rFonts w:hint="eastAsia" w:ascii="仿宋_GB2312" w:hAnsi="宋体" w:eastAsia="仿宋_GB2312" w:cs="宋体"/>
          <w:sz w:val="32"/>
          <w:szCs w:val="32"/>
          <w:lang w:val="en-US"/>
        </w:rPr>
        <w:t>不需要更换内镜</w:t>
      </w:r>
      <w:r>
        <w:rPr>
          <w:rFonts w:hint="default" w:ascii="仿宋_GB2312" w:hAnsi="宋体" w:eastAsia="仿宋_GB2312" w:cs="宋体"/>
          <w:sz w:val="32"/>
          <w:szCs w:val="32"/>
          <w:lang w:val="en-US"/>
        </w:rPr>
        <w:t>，</w:t>
      </w:r>
      <w:r>
        <w:rPr>
          <w:rFonts w:hint="eastAsia" w:ascii="仿宋_GB2312" w:hAnsi="宋体" w:eastAsia="仿宋_GB2312" w:cs="宋体"/>
          <w:sz w:val="32"/>
          <w:szCs w:val="32"/>
          <w:lang w:val="en-US"/>
        </w:rPr>
        <w:t>减少成本及时间</w:t>
      </w:r>
      <w:r>
        <w:rPr>
          <w:rFonts w:hint="default" w:ascii="仿宋_GB2312" w:hAnsi="宋体" w:eastAsia="仿宋_GB2312" w:cs="宋体"/>
          <w:sz w:val="32"/>
          <w:szCs w:val="32"/>
          <w:lang w:val="en-US"/>
        </w:rPr>
        <w:t>。</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2.拟采购设备国内从9</w:t>
      </w:r>
      <w:r>
        <w:rPr>
          <w:rFonts w:ascii="仿宋_GB2312" w:hAnsi="宋体" w:eastAsia="仿宋_GB2312" w:cs="宋体"/>
          <w:sz w:val="32"/>
          <w:szCs w:val="32"/>
        </w:rPr>
        <w:t>0</w:t>
      </w:r>
      <w:r>
        <w:rPr>
          <w:rFonts w:hint="eastAsia" w:ascii="仿宋_GB2312" w:hAnsi="宋体" w:eastAsia="仿宋_GB2312" w:cs="宋体"/>
          <w:sz w:val="32"/>
          <w:szCs w:val="32"/>
        </w:rPr>
        <w:t>年代开始生产，目前较为受认可为深圳开立和上海澳华；市场供给充足；历史成交较少，目前国内份额1</w:t>
      </w:r>
      <w:r>
        <w:rPr>
          <w:rFonts w:hint="eastAsia" w:ascii="仿宋_GB2312" w:hAnsi="宋体" w:eastAsia="仿宋_GB2312" w:cs="宋体"/>
          <w:sz w:val="32"/>
          <w:szCs w:val="32"/>
          <w:lang w:val="en-US" w:eastAsia="zh-CN"/>
        </w:rPr>
        <w:t>5</w:t>
      </w:r>
      <w:r>
        <w:rPr>
          <w:rFonts w:ascii="仿宋_GB2312" w:hAnsi="宋体" w:eastAsia="仿宋_GB2312" w:cs="宋体"/>
          <w:sz w:val="32"/>
          <w:szCs w:val="32"/>
        </w:rPr>
        <w:t>%</w:t>
      </w:r>
      <w:r>
        <w:rPr>
          <w:rFonts w:hint="eastAsia" w:ascii="仿宋_GB2312" w:hAnsi="宋体" w:eastAsia="仿宋_GB2312" w:cs="宋体"/>
          <w:sz w:val="32"/>
          <w:szCs w:val="32"/>
        </w:rPr>
        <w:t>左右，福建成交基本在二级及以下单位，三级医院成交较少，升级更新较快，但是造成产品质量稳定性较差；备品备件充足；无耗材</w:t>
      </w:r>
      <w:r>
        <w:rPr>
          <w:rFonts w:hint="eastAsia" w:ascii="仿宋_GB2312" w:hAnsi="宋体" w:eastAsia="仿宋_GB2312" w:cs="宋体"/>
          <w:sz w:val="32"/>
          <w:szCs w:val="32"/>
          <w:lang w:val="en-US" w:eastAsia="zh-CN"/>
        </w:rPr>
        <w:t>。</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3.拟采购国产产品价格240万左右，进口产品价格310万左右。进口产品国内份额大概为日本奥林巴斯</w:t>
      </w:r>
      <w:r>
        <w:rPr>
          <w:rFonts w:hint="eastAsia" w:ascii="仿宋_GB2312" w:hAnsi="宋体" w:eastAsia="仿宋_GB2312" w:cs="宋体"/>
          <w:sz w:val="32"/>
          <w:szCs w:val="32"/>
          <w:lang w:val="en-US" w:eastAsia="zh-CN"/>
        </w:rPr>
        <w:t>53%、日本富士2</w:t>
      </w:r>
      <w:r>
        <w:rPr>
          <w:rFonts w:hint="eastAsia" w:ascii="仿宋_GB2312" w:hAnsi="宋体" w:eastAsia="仿宋_GB2312" w:cs="宋体"/>
          <w:sz w:val="32"/>
          <w:szCs w:val="32"/>
          <w:lang w:val="en-US" w:eastAsia="zh-CN"/>
        </w:rPr>
        <w:t>4%、宾得</w:t>
      </w:r>
      <w:r>
        <w:rPr>
          <w:rFonts w:hint="eastAsia" w:ascii="仿宋_GB2312" w:hAnsi="宋体" w:eastAsia="仿宋_GB2312" w:cs="宋体"/>
          <w:sz w:val="32"/>
          <w:szCs w:val="32"/>
          <w:lang w:val="en-US" w:eastAsia="zh-CN"/>
        </w:rPr>
        <w:t>8%，</w:t>
      </w:r>
      <w:r>
        <w:rPr>
          <w:rFonts w:hint="eastAsia" w:ascii="仿宋_GB2312" w:hAnsi="宋体" w:eastAsia="仿宋_GB2312" w:cs="宋体"/>
          <w:sz w:val="32"/>
          <w:szCs w:val="32"/>
          <w:lang w:val="en-US" w:eastAsia="zh-CN"/>
        </w:rPr>
        <w:t>国产品牌13%。</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 xml:space="preserve">（1）德化县中医院 111.6万 </w:t>
      </w:r>
      <w:r>
        <w:rPr>
          <w:rFonts w:hint="eastAsia" w:ascii="仿宋_GB2312" w:hAnsi="宋体" w:eastAsia="仿宋_GB2312" w:cs="宋体"/>
          <w:sz w:val="32"/>
          <w:szCs w:val="32"/>
          <w:lang w:val="en-US" w:eastAsia="zh-CN"/>
        </w:rPr>
        <w:fldChar w:fldCharType="begin"/>
      </w:r>
      <w:r>
        <w:rPr>
          <w:rFonts w:hint="eastAsia" w:ascii="仿宋_GB2312" w:hAnsi="宋体" w:eastAsia="仿宋_GB2312" w:cs="宋体"/>
          <w:sz w:val="32"/>
          <w:szCs w:val="32"/>
          <w:lang w:val="en-US" w:eastAsia="zh-CN"/>
        </w:rPr>
        <w:instrText xml:space="preserve"> HYPERLINK "http://zfcg.quanzhou.gov.cn/350526/notice/d03180adb4de41acbb063875889f9af1/E422AA07A2681077E05307801DACC475/" </w:instrText>
      </w:r>
      <w:r>
        <w:rPr>
          <w:rFonts w:hint="eastAsia" w:ascii="仿宋_GB2312" w:hAnsi="宋体" w:eastAsia="仿宋_GB2312" w:cs="宋体"/>
          <w:sz w:val="32"/>
          <w:szCs w:val="32"/>
          <w:lang w:val="en-US" w:eastAsia="zh-CN"/>
        </w:rPr>
        <w:fldChar w:fldCharType="separate"/>
      </w:r>
      <w:r>
        <w:rPr>
          <w:rFonts w:hint="eastAsia" w:ascii="仿宋_GB2312" w:hAnsi="宋体" w:eastAsia="仿宋_GB2312" w:cs="宋体"/>
          <w:sz w:val="32"/>
          <w:szCs w:val="32"/>
          <w:lang w:val="en-US" w:eastAsia="zh-CN"/>
        </w:rPr>
        <w:t>福建省政府采购网 (quanzhou.gov.cn)</w:t>
      </w:r>
      <w:r>
        <w:rPr>
          <w:rFonts w:hint="eastAsia" w:ascii="仿宋_GB2312" w:hAnsi="宋体" w:eastAsia="仿宋_GB2312" w:cs="宋体"/>
          <w:sz w:val="32"/>
          <w:szCs w:val="32"/>
          <w:lang w:val="en-US" w:eastAsia="zh-CN"/>
        </w:rPr>
        <w:fldChar w:fldCharType="end"/>
      </w:r>
      <w:r>
        <w:rPr>
          <w:rFonts w:hint="eastAsia" w:ascii="仿宋_GB2312" w:hAnsi="宋体" w:eastAsia="仿宋_GB2312" w:cs="宋体"/>
          <w:sz w:val="32"/>
          <w:szCs w:val="32"/>
          <w:lang w:val="en-US" w:eastAsia="zh-CN"/>
        </w:rPr>
        <w:t xml:space="preserve"> 奥林巴斯 2022/7/19</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 xml:space="preserve">（2）德化县医院   320万   </w:t>
      </w:r>
      <w:r>
        <w:rPr>
          <w:rFonts w:hint="eastAsia" w:ascii="仿宋_GB2312" w:hAnsi="宋体" w:eastAsia="仿宋_GB2312" w:cs="宋体"/>
          <w:sz w:val="32"/>
          <w:szCs w:val="32"/>
          <w:lang w:val="en-US" w:eastAsia="zh-CN"/>
        </w:rPr>
        <w:fldChar w:fldCharType="begin"/>
      </w:r>
      <w:r>
        <w:rPr>
          <w:rFonts w:hint="eastAsia" w:ascii="仿宋_GB2312" w:hAnsi="宋体" w:eastAsia="仿宋_GB2312" w:cs="宋体"/>
          <w:sz w:val="32"/>
          <w:szCs w:val="32"/>
          <w:lang w:val="en-US" w:eastAsia="zh-CN"/>
        </w:rPr>
        <w:instrText xml:space="preserve"> HYPERLINK "http://zfcg.quanzhou.gov.cn/350526/notice/d03180adb4de41acbb063875889f9af1/f7b028ddf74841648ee450b6cf3b95c4/" </w:instrText>
      </w:r>
      <w:r>
        <w:rPr>
          <w:rFonts w:hint="eastAsia" w:ascii="仿宋_GB2312" w:hAnsi="宋体" w:eastAsia="仿宋_GB2312" w:cs="宋体"/>
          <w:sz w:val="32"/>
          <w:szCs w:val="32"/>
          <w:lang w:val="en-US" w:eastAsia="zh-CN"/>
        </w:rPr>
        <w:fldChar w:fldCharType="separate"/>
      </w:r>
      <w:r>
        <w:rPr>
          <w:rFonts w:hint="eastAsia" w:ascii="仿宋_GB2312" w:hAnsi="宋体" w:eastAsia="仿宋_GB2312" w:cs="宋体"/>
          <w:sz w:val="32"/>
          <w:szCs w:val="32"/>
          <w:lang w:val="en-US" w:eastAsia="zh-CN"/>
        </w:rPr>
        <w:t>福建省政府采购网 (quanzhou.gov.cn)</w:t>
      </w:r>
      <w:r>
        <w:rPr>
          <w:rFonts w:hint="eastAsia" w:ascii="仿宋_GB2312" w:hAnsi="宋体" w:eastAsia="仿宋_GB2312" w:cs="宋体"/>
          <w:sz w:val="32"/>
          <w:szCs w:val="32"/>
          <w:lang w:val="en-US" w:eastAsia="zh-CN"/>
        </w:rPr>
        <w:fldChar w:fldCharType="end"/>
      </w:r>
      <w:r>
        <w:rPr>
          <w:rFonts w:hint="eastAsia" w:ascii="仿宋_GB2312" w:hAnsi="宋体" w:eastAsia="仿宋_GB2312" w:cs="宋体"/>
          <w:sz w:val="32"/>
          <w:szCs w:val="32"/>
          <w:lang w:val="en-US" w:eastAsia="zh-CN"/>
        </w:rPr>
        <w:t xml:space="preserve"> 奥林巴斯 2021-07-26</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 xml:space="preserve">（3）霞浦县医院   179.5万 </w:t>
      </w:r>
      <w:r>
        <w:rPr>
          <w:rFonts w:hint="eastAsia" w:ascii="仿宋_GB2312" w:hAnsi="宋体" w:eastAsia="仿宋_GB2312" w:cs="宋体"/>
          <w:sz w:val="32"/>
          <w:szCs w:val="32"/>
          <w:lang w:val="en-US" w:eastAsia="zh-CN"/>
        </w:rPr>
        <w:fldChar w:fldCharType="begin"/>
      </w:r>
      <w:r>
        <w:rPr>
          <w:rFonts w:hint="eastAsia" w:ascii="仿宋_GB2312" w:hAnsi="宋体" w:eastAsia="仿宋_GB2312" w:cs="宋体"/>
          <w:sz w:val="32"/>
          <w:szCs w:val="32"/>
          <w:lang w:val="en-US" w:eastAsia="zh-CN"/>
        </w:rPr>
        <w:instrText xml:space="preserve"> HYPERLINK "http://zfcg.czj.ningde.gov.cn/350921/notice/d03180adb4de41acbb063875889f9af1/c57c15d70e7542a795c1e52195be7548/" </w:instrText>
      </w:r>
      <w:r>
        <w:rPr>
          <w:rFonts w:hint="eastAsia" w:ascii="仿宋_GB2312" w:hAnsi="宋体" w:eastAsia="仿宋_GB2312" w:cs="宋体"/>
          <w:sz w:val="32"/>
          <w:szCs w:val="32"/>
          <w:lang w:val="en-US" w:eastAsia="zh-CN"/>
        </w:rPr>
        <w:fldChar w:fldCharType="separate"/>
      </w:r>
      <w:r>
        <w:rPr>
          <w:rFonts w:hint="eastAsia" w:ascii="仿宋_GB2312" w:hAnsi="宋体" w:eastAsia="仿宋_GB2312" w:cs="宋体"/>
          <w:sz w:val="32"/>
          <w:szCs w:val="32"/>
          <w:lang w:val="en-US" w:eastAsia="zh-CN"/>
        </w:rPr>
        <w:t>福建省政府采购网 (ningde.gov.cn)</w:t>
      </w:r>
      <w:r>
        <w:rPr>
          <w:rFonts w:hint="eastAsia" w:ascii="仿宋_GB2312" w:hAnsi="宋体" w:eastAsia="仿宋_GB2312" w:cs="宋体"/>
          <w:sz w:val="32"/>
          <w:szCs w:val="32"/>
          <w:lang w:val="en-US" w:eastAsia="zh-CN"/>
        </w:rPr>
        <w:fldChar w:fldCharType="end"/>
      </w:r>
      <w:r>
        <w:rPr>
          <w:rFonts w:hint="eastAsia" w:ascii="仿宋_GB2312" w:hAnsi="宋体" w:eastAsia="仿宋_GB2312" w:cs="宋体"/>
          <w:sz w:val="32"/>
          <w:szCs w:val="32"/>
          <w:lang w:val="en-US" w:eastAsia="zh-CN"/>
        </w:rPr>
        <w:t xml:space="preserve"> 开立 2022/5/19</w:t>
      </w:r>
    </w:p>
    <w:p>
      <w:pPr>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 xml:space="preserve">（4）霞浦县医院   450万   </w:t>
      </w:r>
      <w:r>
        <w:rPr>
          <w:rFonts w:hint="eastAsia" w:ascii="仿宋_GB2312" w:hAnsi="宋体" w:eastAsia="仿宋_GB2312" w:cs="宋体"/>
          <w:sz w:val="32"/>
          <w:szCs w:val="32"/>
          <w:lang w:val="en-US" w:eastAsia="zh-CN"/>
        </w:rPr>
        <w:fldChar w:fldCharType="begin"/>
      </w:r>
      <w:r>
        <w:rPr>
          <w:rFonts w:hint="eastAsia" w:ascii="仿宋_GB2312" w:hAnsi="宋体" w:eastAsia="仿宋_GB2312" w:cs="宋体"/>
          <w:sz w:val="32"/>
          <w:szCs w:val="32"/>
          <w:lang w:val="en-US" w:eastAsia="zh-CN"/>
        </w:rPr>
        <w:instrText xml:space="preserve"> HYPERLINK "http://zfcg.czj.ningde.gov.cn/350921/notice/d03180adb4de41acbb063875889f9af1/E4C1A060AD79C17CE0533BF71CACDB63/" </w:instrText>
      </w:r>
      <w:r>
        <w:rPr>
          <w:rFonts w:hint="eastAsia" w:ascii="仿宋_GB2312" w:hAnsi="宋体" w:eastAsia="仿宋_GB2312" w:cs="宋体"/>
          <w:sz w:val="32"/>
          <w:szCs w:val="32"/>
          <w:lang w:val="en-US" w:eastAsia="zh-CN"/>
        </w:rPr>
        <w:fldChar w:fldCharType="separate"/>
      </w:r>
      <w:r>
        <w:rPr>
          <w:rFonts w:hint="eastAsia" w:ascii="仿宋_GB2312" w:hAnsi="宋体" w:eastAsia="仿宋_GB2312" w:cs="宋体"/>
          <w:sz w:val="32"/>
          <w:szCs w:val="32"/>
          <w:lang w:val="en-US" w:eastAsia="zh-CN"/>
        </w:rPr>
        <w:t>福建省政府采购网 (ningde.gov.cn)</w:t>
      </w:r>
      <w:r>
        <w:rPr>
          <w:rFonts w:hint="eastAsia" w:ascii="仿宋_GB2312" w:hAnsi="宋体" w:eastAsia="仿宋_GB2312" w:cs="宋体"/>
          <w:sz w:val="32"/>
          <w:szCs w:val="32"/>
          <w:lang w:val="en-US" w:eastAsia="zh-CN"/>
        </w:rPr>
        <w:fldChar w:fldCharType="end"/>
      </w:r>
      <w:r>
        <w:rPr>
          <w:rFonts w:hint="eastAsia" w:ascii="仿宋_GB2312" w:hAnsi="宋体" w:eastAsia="仿宋_GB2312" w:cs="宋体"/>
          <w:sz w:val="32"/>
          <w:szCs w:val="32"/>
          <w:lang w:val="en-US" w:eastAsia="zh-CN"/>
        </w:rPr>
        <w:t xml:space="preserve">  富士 2022/7/27</w:t>
      </w:r>
    </w:p>
    <w:p>
      <w:pPr>
        <w:pStyle w:val="2"/>
        <w:rPr>
          <w:rFonts w:hint="default" w:ascii="仿宋_GB2312" w:hAnsi="宋体" w:eastAsia="仿宋_GB2312" w:cs="宋体"/>
          <w:bCs w:val="0"/>
          <w:spacing w:val="0"/>
          <w:kern w:val="2"/>
          <w:sz w:val="32"/>
          <w:szCs w:val="32"/>
          <w:lang w:val="en-US" w:eastAsia="zh-CN" w:bidi="ar-SA"/>
        </w:rPr>
      </w:pPr>
      <w:r>
        <w:rPr>
          <w:rFonts w:hint="eastAsia" w:ascii="仿宋_GB2312" w:hAnsi="宋体" w:eastAsia="仿宋_GB2312" w:cs="宋体"/>
          <w:bCs w:val="0"/>
          <w:spacing w:val="0"/>
          <w:kern w:val="2"/>
          <w:sz w:val="32"/>
          <w:szCs w:val="32"/>
          <w:lang w:val="en-US" w:eastAsia="zh-CN" w:bidi="ar-SA"/>
        </w:rPr>
        <w:t>4 需求标准对比</w:t>
      </w:r>
      <w:bookmarkStart w:id="3" w:name="_GoBack"/>
      <w:bookmarkEnd w:id="3"/>
    </w:p>
    <w:tbl>
      <w:tblPr>
        <w:tblStyle w:val="5"/>
        <w:tblpPr w:leftFromText="180" w:rightFromText="180" w:vertAnchor="text" w:horzAnchor="page" w:tblpX="1620" w:tblpY="653"/>
        <w:tblOverlap w:val="never"/>
        <w:tblW w:w="9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2353"/>
        <w:gridCol w:w="1620"/>
        <w:gridCol w:w="1560"/>
        <w:gridCol w:w="165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dxa"/>
            <w:vAlign w:val="center"/>
          </w:tcPr>
          <w:p>
            <w:pPr>
              <w:widowControl/>
              <w:jc w:val="center"/>
              <w:rPr>
                <w:rStyle w:val="7"/>
                <w:rFonts w:ascii="宋体" w:hAnsi="宋体"/>
                <w:b w:val="0"/>
                <w:bCs w:val="0"/>
                <w:szCs w:val="21"/>
              </w:rPr>
            </w:pPr>
            <w:r>
              <w:rPr>
                <w:rStyle w:val="7"/>
                <w:rFonts w:hint="eastAsia" w:ascii="宋体" w:hAnsi="宋体"/>
                <w:szCs w:val="21"/>
              </w:rPr>
              <w:t>序号</w:t>
            </w:r>
          </w:p>
        </w:tc>
        <w:tc>
          <w:tcPr>
            <w:tcW w:w="2353" w:type="dxa"/>
            <w:vAlign w:val="center"/>
          </w:tcPr>
          <w:p>
            <w:pPr>
              <w:widowControl/>
              <w:jc w:val="center"/>
              <w:rPr>
                <w:rStyle w:val="7"/>
                <w:rFonts w:ascii="宋体" w:hAnsi="宋体"/>
                <w:b w:val="0"/>
                <w:bCs w:val="0"/>
                <w:szCs w:val="21"/>
              </w:rPr>
            </w:pPr>
            <w:r>
              <w:rPr>
                <w:rStyle w:val="7"/>
                <w:rFonts w:hint="eastAsia" w:ascii="宋体" w:hAnsi="宋体"/>
                <w:szCs w:val="21"/>
              </w:rPr>
              <w:t>需求标准</w:t>
            </w:r>
          </w:p>
        </w:tc>
        <w:tc>
          <w:tcPr>
            <w:tcW w:w="1620" w:type="dxa"/>
            <w:vAlign w:val="center"/>
          </w:tcPr>
          <w:p>
            <w:pPr>
              <w:widowControl/>
              <w:jc w:val="center"/>
              <w:rPr>
                <w:rStyle w:val="7"/>
                <w:rFonts w:ascii="宋体" w:hAnsi="宋体"/>
                <w:b w:val="0"/>
                <w:bCs w:val="0"/>
                <w:szCs w:val="21"/>
              </w:rPr>
            </w:pPr>
            <w:r>
              <w:rPr>
                <w:rStyle w:val="7"/>
                <w:rFonts w:hint="eastAsia" w:ascii="宋体" w:hAnsi="宋体"/>
                <w:szCs w:val="21"/>
              </w:rPr>
              <w:t>国内产品1</w:t>
            </w:r>
          </w:p>
          <w:p>
            <w:pPr>
              <w:widowControl/>
              <w:jc w:val="center"/>
              <w:rPr>
                <w:rStyle w:val="7"/>
                <w:rFonts w:ascii="宋体" w:hAnsi="宋体"/>
                <w:b w:val="0"/>
                <w:bCs w:val="0"/>
                <w:szCs w:val="21"/>
              </w:rPr>
            </w:pPr>
            <w:r>
              <w:rPr>
                <w:rStyle w:val="7"/>
                <w:rFonts w:hint="eastAsia" w:ascii="宋体" w:hAnsi="宋体"/>
                <w:szCs w:val="21"/>
              </w:rPr>
              <w:t>（开立）</w:t>
            </w:r>
          </w:p>
        </w:tc>
        <w:tc>
          <w:tcPr>
            <w:tcW w:w="1560" w:type="dxa"/>
            <w:vAlign w:val="center"/>
          </w:tcPr>
          <w:p>
            <w:pPr>
              <w:widowControl/>
              <w:jc w:val="center"/>
              <w:rPr>
                <w:rStyle w:val="7"/>
                <w:rFonts w:ascii="宋体" w:hAnsi="宋体"/>
                <w:b w:val="0"/>
                <w:bCs w:val="0"/>
                <w:szCs w:val="21"/>
              </w:rPr>
            </w:pPr>
            <w:r>
              <w:rPr>
                <w:rStyle w:val="7"/>
                <w:rFonts w:hint="eastAsia" w:ascii="宋体" w:hAnsi="宋体"/>
                <w:szCs w:val="21"/>
              </w:rPr>
              <w:t>国内产品2</w:t>
            </w:r>
          </w:p>
          <w:p>
            <w:pPr>
              <w:widowControl/>
              <w:jc w:val="center"/>
              <w:rPr>
                <w:rStyle w:val="7"/>
                <w:rFonts w:ascii="宋体" w:hAnsi="宋体"/>
                <w:b w:val="0"/>
                <w:bCs w:val="0"/>
                <w:szCs w:val="21"/>
              </w:rPr>
            </w:pPr>
            <w:r>
              <w:rPr>
                <w:rStyle w:val="7"/>
                <w:rFonts w:hint="eastAsia" w:ascii="宋体" w:hAnsi="宋体"/>
                <w:szCs w:val="21"/>
              </w:rPr>
              <w:t>（澳华）</w:t>
            </w:r>
          </w:p>
        </w:tc>
        <w:tc>
          <w:tcPr>
            <w:tcW w:w="1650" w:type="dxa"/>
            <w:vAlign w:val="center"/>
          </w:tcPr>
          <w:p>
            <w:pPr>
              <w:widowControl/>
              <w:jc w:val="center"/>
              <w:rPr>
                <w:rStyle w:val="7"/>
                <w:rFonts w:ascii="宋体" w:hAnsi="宋体"/>
                <w:b w:val="0"/>
                <w:bCs w:val="0"/>
                <w:szCs w:val="21"/>
              </w:rPr>
            </w:pPr>
            <w:r>
              <w:rPr>
                <w:rStyle w:val="7"/>
                <w:rFonts w:hint="eastAsia" w:ascii="宋体" w:hAnsi="宋体"/>
                <w:szCs w:val="21"/>
              </w:rPr>
              <w:t>进口产品3</w:t>
            </w:r>
          </w:p>
          <w:p>
            <w:pPr>
              <w:widowControl/>
              <w:jc w:val="center"/>
              <w:rPr>
                <w:rStyle w:val="7"/>
                <w:rFonts w:ascii="宋体" w:hAnsi="宋体"/>
                <w:b w:val="0"/>
                <w:bCs w:val="0"/>
                <w:szCs w:val="21"/>
              </w:rPr>
            </w:pPr>
            <w:r>
              <w:rPr>
                <w:rStyle w:val="7"/>
                <w:rFonts w:hint="eastAsia" w:ascii="宋体" w:hAnsi="宋体"/>
                <w:szCs w:val="21"/>
              </w:rPr>
              <w:t>（奥林巴斯）</w:t>
            </w:r>
          </w:p>
        </w:tc>
        <w:tc>
          <w:tcPr>
            <w:tcW w:w="1500" w:type="dxa"/>
          </w:tcPr>
          <w:p>
            <w:pPr>
              <w:widowControl/>
              <w:jc w:val="center"/>
              <w:rPr>
                <w:rStyle w:val="7"/>
                <w:rFonts w:ascii="宋体" w:hAnsi="宋体"/>
                <w:szCs w:val="21"/>
              </w:rPr>
            </w:pPr>
            <w:r>
              <w:rPr>
                <w:rStyle w:val="7"/>
                <w:rFonts w:hint="eastAsia" w:ascii="宋体" w:hAnsi="宋体"/>
                <w:szCs w:val="21"/>
              </w:rPr>
              <w:t>进口产品</w:t>
            </w:r>
          </w:p>
          <w:p>
            <w:pPr>
              <w:widowControl/>
              <w:jc w:val="center"/>
              <w:rPr>
                <w:rStyle w:val="7"/>
                <w:rFonts w:hint="eastAsia" w:ascii="宋体" w:hAnsi="宋体"/>
                <w:szCs w:val="21"/>
              </w:rPr>
            </w:pPr>
            <w:r>
              <w:rPr>
                <w:rStyle w:val="7"/>
                <w:rFonts w:hint="eastAsia" w:ascii="宋体" w:hAnsi="宋体"/>
                <w:szCs w:val="21"/>
              </w:rPr>
              <w:t>（富士）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dxa"/>
            <w:vAlign w:val="center"/>
          </w:tcPr>
          <w:p>
            <w:pPr>
              <w:widowControl/>
              <w:jc w:val="left"/>
              <w:rPr>
                <w:rStyle w:val="7"/>
                <w:rFonts w:ascii="宋体" w:hAnsi="宋体"/>
                <w:b w:val="0"/>
                <w:bCs w:val="0"/>
                <w:sz w:val="20"/>
                <w:szCs w:val="20"/>
              </w:rPr>
            </w:pPr>
            <w:bookmarkStart w:id="1" w:name="_Hlk96972481"/>
            <w:r>
              <w:rPr>
                <w:rStyle w:val="7"/>
                <w:rFonts w:ascii="宋体" w:hAnsi="宋体"/>
                <w:sz w:val="20"/>
                <w:szCs w:val="20"/>
              </w:rPr>
              <w:t>1</w:t>
            </w:r>
          </w:p>
        </w:tc>
        <w:tc>
          <w:tcPr>
            <w:tcW w:w="2353" w:type="dxa"/>
            <w:vAlign w:val="center"/>
          </w:tcPr>
          <w:p>
            <w:pPr>
              <w:widowControl/>
              <w:jc w:val="left"/>
              <w:rPr>
                <w:rStyle w:val="7"/>
                <w:rFonts w:hint="default" w:ascii="宋体" w:hAnsi="宋体"/>
                <w:b w:val="0"/>
                <w:bCs w:val="0"/>
                <w:sz w:val="24"/>
                <w:szCs w:val="24"/>
                <w:lang w:val="en-US"/>
              </w:rPr>
            </w:pPr>
            <w:r>
              <w:rPr>
                <w:rFonts w:hint="eastAsia"/>
                <w:sz w:val="24"/>
                <w:szCs w:val="24"/>
              </w:rPr>
              <w:t>电子内镜系统需</w:t>
            </w:r>
            <w:r>
              <w:rPr>
                <w:rFonts w:hint="eastAsia"/>
                <w:sz w:val="24"/>
                <w:szCs w:val="24"/>
                <w:lang w:val="en-US" w:eastAsia="zh-CN"/>
              </w:rPr>
              <w:t>具备拓展兼容小肠镜功能</w:t>
            </w:r>
          </w:p>
        </w:tc>
        <w:tc>
          <w:tcPr>
            <w:tcW w:w="1620" w:type="dxa"/>
            <w:vAlign w:val="center"/>
          </w:tcPr>
          <w:p>
            <w:pPr>
              <w:widowControl/>
              <w:jc w:val="center"/>
              <w:rPr>
                <w:rStyle w:val="7"/>
                <w:rFonts w:hint="default" w:ascii="宋体" w:hAnsi="宋体" w:eastAsia="宋体"/>
                <w:b w:val="0"/>
                <w:bCs w:val="0"/>
                <w:sz w:val="20"/>
                <w:szCs w:val="20"/>
                <w:lang w:val="en-US" w:eastAsia="zh-CN"/>
              </w:rPr>
            </w:pPr>
            <w:r>
              <w:rPr>
                <w:rStyle w:val="7"/>
                <w:rFonts w:hint="eastAsia" w:ascii="宋体" w:hAnsi="宋体"/>
                <w:b w:val="0"/>
                <w:bCs w:val="0"/>
                <w:sz w:val="20"/>
                <w:szCs w:val="20"/>
                <w:lang w:val="en-US" w:eastAsia="zh-CN"/>
              </w:rPr>
              <w:t>无</w:t>
            </w:r>
          </w:p>
        </w:tc>
        <w:tc>
          <w:tcPr>
            <w:tcW w:w="1560" w:type="dxa"/>
            <w:vAlign w:val="center"/>
          </w:tcPr>
          <w:p>
            <w:pPr>
              <w:widowControl/>
              <w:jc w:val="center"/>
              <w:rPr>
                <w:rStyle w:val="7"/>
                <w:rFonts w:ascii="宋体" w:hAnsi="宋体"/>
                <w:b w:val="0"/>
                <w:bCs w:val="0"/>
                <w:sz w:val="20"/>
                <w:szCs w:val="20"/>
              </w:rPr>
            </w:pPr>
            <w:r>
              <w:rPr>
                <w:rStyle w:val="7"/>
                <w:rFonts w:hint="eastAsia" w:ascii="宋体" w:hAnsi="宋体"/>
                <w:b w:val="0"/>
                <w:bCs w:val="0"/>
                <w:sz w:val="20"/>
                <w:szCs w:val="20"/>
                <w:lang w:val="en-US" w:eastAsia="zh-CN"/>
              </w:rPr>
              <w:t>无</w:t>
            </w:r>
          </w:p>
        </w:tc>
        <w:tc>
          <w:tcPr>
            <w:tcW w:w="1650" w:type="dxa"/>
            <w:vAlign w:val="center"/>
          </w:tcPr>
          <w:p>
            <w:pPr>
              <w:jc w:val="center"/>
              <w:rPr>
                <w:rStyle w:val="7"/>
                <w:rFonts w:ascii="宋体" w:hAnsi="宋体"/>
                <w:b w:val="0"/>
                <w:bCs w:val="0"/>
                <w:sz w:val="20"/>
                <w:szCs w:val="20"/>
              </w:rPr>
            </w:pPr>
            <w:r>
              <w:rPr>
                <w:rStyle w:val="7"/>
                <w:rFonts w:hint="eastAsia" w:ascii="宋体" w:hAnsi="宋体"/>
                <w:b w:val="0"/>
                <w:bCs w:val="0"/>
                <w:sz w:val="20"/>
                <w:szCs w:val="20"/>
                <w:lang w:val="en-US" w:eastAsia="zh-CN"/>
              </w:rPr>
              <w:t>有</w:t>
            </w:r>
          </w:p>
        </w:tc>
        <w:tc>
          <w:tcPr>
            <w:tcW w:w="1500" w:type="dxa"/>
          </w:tcPr>
          <w:p>
            <w:pPr>
              <w:jc w:val="center"/>
              <w:rPr>
                <w:rFonts w:hint="eastAsia"/>
                <w:sz w:val="20"/>
                <w:szCs w:val="20"/>
                <w:lang w:val="en-US"/>
              </w:rPr>
            </w:pPr>
          </w:p>
          <w:p>
            <w:pPr>
              <w:jc w:val="both"/>
              <w:rPr>
                <w:rFonts w:hint="default" w:eastAsia="宋体"/>
                <w:sz w:val="20"/>
                <w:szCs w:val="20"/>
                <w:lang w:val="en-US" w:eastAsia="zh-CN"/>
              </w:rPr>
            </w:pPr>
            <w:r>
              <w:rPr>
                <w:rFonts w:hint="eastAsia"/>
                <w:sz w:val="20"/>
                <w:szCs w:val="20"/>
                <w:lang w:val="en-US" w:eastAsia="zh-CN"/>
              </w:rPr>
              <w:t xml:space="preserve">      有</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dxa"/>
            <w:vAlign w:val="center"/>
          </w:tcPr>
          <w:p>
            <w:pPr>
              <w:widowControl/>
              <w:jc w:val="left"/>
              <w:rPr>
                <w:rStyle w:val="7"/>
                <w:rFonts w:ascii="宋体" w:hAnsi="宋体"/>
                <w:b w:val="0"/>
                <w:bCs w:val="0"/>
                <w:sz w:val="20"/>
                <w:szCs w:val="20"/>
              </w:rPr>
            </w:pPr>
            <w:bookmarkStart w:id="2" w:name="_Hlk96973611"/>
            <w:r>
              <w:rPr>
                <w:rStyle w:val="7"/>
                <w:rFonts w:ascii="宋体" w:hAnsi="宋体"/>
                <w:sz w:val="20"/>
                <w:szCs w:val="20"/>
              </w:rPr>
              <w:t>2</w:t>
            </w:r>
          </w:p>
        </w:tc>
        <w:tc>
          <w:tcPr>
            <w:tcW w:w="2353" w:type="dxa"/>
            <w:vAlign w:val="center"/>
          </w:tcPr>
          <w:p>
            <w:pPr>
              <w:widowControl/>
              <w:jc w:val="left"/>
              <w:rPr>
                <w:rStyle w:val="7"/>
                <w:rFonts w:hint="default" w:ascii="宋体" w:hAnsi="宋体" w:eastAsia="宋体"/>
                <w:b w:val="0"/>
                <w:bCs w:val="0"/>
                <w:sz w:val="24"/>
                <w:szCs w:val="24"/>
                <w:lang w:val="en-US"/>
              </w:rPr>
            </w:pPr>
            <w:r>
              <w:rPr>
                <w:rFonts w:hint="eastAsia"/>
                <w:sz w:val="24"/>
                <w:szCs w:val="24"/>
                <w:lang w:val="en-US"/>
              </w:rPr>
              <w:t>高清电子</w:t>
            </w:r>
            <w:r>
              <w:rPr>
                <w:rFonts w:hint="eastAsia"/>
                <w:sz w:val="24"/>
                <w:szCs w:val="24"/>
                <w:lang w:val="en-US" w:eastAsia="zh-CN"/>
              </w:rPr>
              <w:t>胃镜先端外径≤</w:t>
            </w:r>
            <w:r>
              <w:rPr>
                <w:rFonts w:hint="default"/>
                <w:sz w:val="24"/>
                <w:szCs w:val="24"/>
                <w:lang w:eastAsia="zh-CN"/>
              </w:rPr>
              <w:t>9</w:t>
            </w:r>
            <w:r>
              <w:rPr>
                <w:rFonts w:hint="eastAsia"/>
                <w:sz w:val="24"/>
                <w:szCs w:val="24"/>
                <w:lang w:val="en-US" w:eastAsia="zh-CN"/>
              </w:rPr>
              <w:t>mm</w:t>
            </w:r>
            <w:r>
              <w:rPr>
                <w:rFonts w:hint="default"/>
                <w:sz w:val="24"/>
                <w:szCs w:val="24"/>
                <w:lang w:eastAsia="zh-CN"/>
              </w:rPr>
              <w:t>，</w:t>
            </w:r>
            <w:r>
              <w:rPr>
                <w:rFonts w:hint="eastAsia"/>
                <w:sz w:val="24"/>
                <w:szCs w:val="24"/>
                <w:lang w:val="en-US"/>
              </w:rPr>
              <w:t>且同时钳道内径</w:t>
            </w:r>
            <w:r>
              <w:rPr>
                <w:rFonts w:hint="default" w:ascii="Arial" w:hAnsi="Arial" w:cs="Arial"/>
                <w:sz w:val="24"/>
                <w:szCs w:val="24"/>
                <w:lang w:val="en-US"/>
              </w:rPr>
              <w:t>≥</w:t>
            </w:r>
            <w:r>
              <w:rPr>
                <w:rFonts w:hint="default" w:ascii="Arial"/>
                <w:sz w:val="24"/>
                <w:szCs w:val="24"/>
              </w:rPr>
              <w:t>2</w:t>
            </w:r>
            <w:r>
              <w:rPr>
                <w:rFonts w:hint="eastAsia" w:ascii="Arial"/>
                <w:sz w:val="24"/>
                <w:szCs w:val="24"/>
                <w:lang w:val="en-US"/>
              </w:rPr>
              <w:t>.</w:t>
            </w:r>
            <w:r>
              <w:rPr>
                <w:rFonts w:hint="default" w:ascii="Arial"/>
                <w:sz w:val="24"/>
                <w:szCs w:val="24"/>
              </w:rPr>
              <w:t>8</w:t>
            </w:r>
            <w:r>
              <w:rPr>
                <w:rFonts w:hint="eastAsia" w:ascii="Arial"/>
                <w:sz w:val="24"/>
                <w:szCs w:val="24"/>
                <w:lang w:val="en-US"/>
              </w:rPr>
              <w:t>mm</w:t>
            </w:r>
          </w:p>
        </w:tc>
        <w:tc>
          <w:tcPr>
            <w:tcW w:w="1620" w:type="dxa"/>
            <w:vAlign w:val="center"/>
          </w:tcPr>
          <w:p>
            <w:pPr>
              <w:jc w:val="center"/>
              <w:rPr>
                <w:rFonts w:hint="default"/>
                <w:sz w:val="20"/>
                <w:szCs w:val="20"/>
                <w:lang w:val="en-US"/>
              </w:rPr>
            </w:pPr>
            <w:r>
              <w:rPr>
                <w:rFonts w:hint="eastAsia"/>
                <w:sz w:val="20"/>
                <w:szCs w:val="20"/>
                <w:lang w:val="en-US"/>
              </w:rPr>
              <w:t>无</w:t>
            </w:r>
          </w:p>
        </w:tc>
        <w:tc>
          <w:tcPr>
            <w:tcW w:w="1560" w:type="dxa"/>
            <w:vAlign w:val="center"/>
          </w:tcPr>
          <w:p>
            <w:pPr>
              <w:jc w:val="center"/>
              <w:rPr>
                <w:rFonts w:hint="eastAsia" w:eastAsia="宋体"/>
                <w:sz w:val="20"/>
                <w:szCs w:val="20"/>
              </w:rPr>
            </w:pPr>
            <w:r>
              <w:rPr>
                <w:rFonts w:hint="eastAsia"/>
                <w:sz w:val="20"/>
                <w:szCs w:val="20"/>
                <w:lang w:val="en-US"/>
              </w:rPr>
              <w:t>无</w:t>
            </w:r>
          </w:p>
        </w:tc>
        <w:tc>
          <w:tcPr>
            <w:tcW w:w="1650" w:type="dxa"/>
            <w:vAlign w:val="center"/>
          </w:tcPr>
          <w:p>
            <w:pPr>
              <w:ind w:firstLine="600" w:firstLineChars="300"/>
              <w:jc w:val="both"/>
              <w:rPr>
                <w:rFonts w:hint="eastAsia" w:eastAsia="宋体"/>
                <w:sz w:val="20"/>
                <w:szCs w:val="20"/>
                <w:lang w:val="en-US"/>
              </w:rPr>
            </w:pPr>
            <w:r>
              <w:rPr>
                <w:rFonts w:hint="eastAsia"/>
                <w:sz w:val="20"/>
                <w:szCs w:val="20"/>
                <w:lang w:val="en-US"/>
              </w:rPr>
              <w:t>有</w:t>
            </w:r>
          </w:p>
        </w:tc>
        <w:tc>
          <w:tcPr>
            <w:tcW w:w="1500" w:type="dxa"/>
          </w:tcPr>
          <w:p>
            <w:pPr>
              <w:jc w:val="center"/>
              <w:rPr>
                <w:rFonts w:hint="eastAsia"/>
                <w:sz w:val="20"/>
                <w:szCs w:val="20"/>
                <w:lang w:val="en-US"/>
              </w:rPr>
            </w:pPr>
          </w:p>
          <w:p>
            <w:pPr>
              <w:ind w:firstLine="600" w:firstLineChars="300"/>
              <w:jc w:val="both"/>
              <w:rPr>
                <w:rFonts w:hint="default"/>
                <w:sz w:val="20"/>
                <w:szCs w:val="20"/>
                <w:lang w:val="en-US"/>
              </w:rPr>
            </w:pPr>
            <w:r>
              <w:rPr>
                <w:rFonts w:hint="eastAsia"/>
                <w:sz w:val="20"/>
                <w:szCs w:val="20"/>
                <w:lang w:val="en-US"/>
              </w:rPr>
              <w:t>无</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47" w:type="dxa"/>
            <w:vAlign w:val="center"/>
          </w:tcPr>
          <w:p>
            <w:pPr>
              <w:widowControl/>
              <w:jc w:val="left"/>
              <w:rPr>
                <w:rStyle w:val="7"/>
                <w:rFonts w:ascii="宋体" w:hAnsi="宋体"/>
                <w:b w:val="0"/>
                <w:bCs w:val="0"/>
                <w:sz w:val="20"/>
                <w:szCs w:val="20"/>
              </w:rPr>
            </w:pPr>
            <w:r>
              <w:rPr>
                <w:rStyle w:val="7"/>
                <w:rFonts w:ascii="宋体" w:hAnsi="宋体"/>
                <w:sz w:val="20"/>
                <w:szCs w:val="20"/>
              </w:rPr>
              <w:t>3</w:t>
            </w:r>
          </w:p>
        </w:tc>
        <w:tc>
          <w:tcPr>
            <w:tcW w:w="2353" w:type="dxa"/>
            <w:vAlign w:val="center"/>
          </w:tcPr>
          <w:p>
            <w:pPr>
              <w:widowControl/>
              <w:jc w:val="left"/>
              <w:rPr>
                <w:rStyle w:val="7"/>
                <w:rFonts w:ascii="宋体" w:hAnsi="宋体"/>
                <w:b w:val="0"/>
                <w:bCs w:val="0"/>
                <w:sz w:val="24"/>
                <w:szCs w:val="24"/>
              </w:rPr>
            </w:pPr>
            <w:r>
              <w:rPr>
                <w:rFonts w:hint="eastAsia"/>
                <w:sz w:val="24"/>
                <w:szCs w:val="24"/>
              </w:rPr>
              <w:t>电子内镜系统需</w:t>
            </w:r>
            <w:r>
              <w:rPr>
                <w:rFonts w:hint="eastAsia"/>
                <w:sz w:val="24"/>
                <w:szCs w:val="24"/>
                <w:lang w:val="en-US" w:eastAsia="zh-CN"/>
              </w:rPr>
              <w:t>具备拓展兼容双钳道内镜功能</w:t>
            </w:r>
          </w:p>
        </w:tc>
        <w:tc>
          <w:tcPr>
            <w:tcW w:w="1620" w:type="dxa"/>
            <w:vAlign w:val="center"/>
          </w:tcPr>
          <w:p>
            <w:pPr>
              <w:widowControl/>
              <w:jc w:val="center"/>
              <w:rPr>
                <w:rStyle w:val="7"/>
                <w:rFonts w:hint="default" w:ascii="宋体" w:hAnsi="宋体" w:eastAsia="宋体"/>
                <w:b w:val="0"/>
                <w:bCs w:val="0"/>
                <w:sz w:val="20"/>
                <w:szCs w:val="20"/>
                <w:lang w:eastAsia="zh-CN"/>
              </w:rPr>
            </w:pPr>
            <w:r>
              <w:rPr>
                <w:rStyle w:val="7"/>
                <w:rFonts w:hint="eastAsia" w:ascii="宋体" w:hAnsi="宋体"/>
                <w:b w:val="0"/>
                <w:bCs w:val="0"/>
                <w:sz w:val="20"/>
                <w:szCs w:val="20"/>
                <w:lang w:val="en-US" w:eastAsia="zh-CN"/>
              </w:rPr>
              <w:t>无</w:t>
            </w:r>
          </w:p>
        </w:tc>
        <w:tc>
          <w:tcPr>
            <w:tcW w:w="1560" w:type="dxa"/>
            <w:vAlign w:val="center"/>
          </w:tcPr>
          <w:p>
            <w:pPr>
              <w:widowControl/>
              <w:jc w:val="center"/>
              <w:rPr>
                <w:rStyle w:val="7"/>
                <w:rFonts w:ascii="宋体" w:hAnsi="宋体"/>
                <w:b w:val="0"/>
                <w:bCs w:val="0"/>
                <w:sz w:val="20"/>
                <w:szCs w:val="20"/>
              </w:rPr>
            </w:pPr>
            <w:r>
              <w:rPr>
                <w:rStyle w:val="7"/>
                <w:rFonts w:hint="eastAsia" w:ascii="宋体" w:hAnsi="宋体"/>
                <w:b w:val="0"/>
                <w:bCs w:val="0"/>
                <w:sz w:val="20"/>
                <w:szCs w:val="20"/>
                <w:lang w:val="en-US" w:eastAsia="zh-CN"/>
              </w:rPr>
              <w:t>无</w:t>
            </w:r>
          </w:p>
        </w:tc>
        <w:tc>
          <w:tcPr>
            <w:tcW w:w="1650" w:type="dxa"/>
            <w:vAlign w:val="center"/>
          </w:tcPr>
          <w:p>
            <w:pPr>
              <w:jc w:val="center"/>
              <w:rPr>
                <w:sz w:val="20"/>
                <w:szCs w:val="20"/>
              </w:rPr>
            </w:pPr>
            <w:r>
              <w:rPr>
                <w:rStyle w:val="7"/>
                <w:rFonts w:hint="eastAsia" w:ascii="宋体" w:hAnsi="宋体"/>
                <w:b w:val="0"/>
                <w:bCs w:val="0"/>
                <w:sz w:val="20"/>
                <w:szCs w:val="20"/>
                <w:lang w:val="en-US" w:eastAsia="zh-CN"/>
              </w:rPr>
              <w:t>有</w:t>
            </w:r>
          </w:p>
        </w:tc>
        <w:tc>
          <w:tcPr>
            <w:tcW w:w="1500" w:type="dxa"/>
          </w:tcPr>
          <w:p>
            <w:pPr>
              <w:jc w:val="center"/>
              <w:rPr>
                <w:rFonts w:hint="eastAsia"/>
                <w:sz w:val="20"/>
                <w:szCs w:val="20"/>
                <w:lang w:val="en-US"/>
              </w:rPr>
            </w:pPr>
          </w:p>
          <w:p>
            <w:pPr>
              <w:ind w:firstLine="600" w:firstLineChars="300"/>
              <w:jc w:val="both"/>
              <w:rPr>
                <w:rFonts w:hint="eastAsia"/>
                <w:sz w:val="20"/>
                <w:szCs w:val="20"/>
                <w:lang w:val="en-US"/>
              </w:rPr>
            </w:pPr>
            <w:r>
              <w:rPr>
                <w:rFonts w:hint="eastAsia"/>
                <w:sz w:val="20"/>
                <w:szCs w:val="20"/>
                <w:lang w:val="en-US" w:eastAsia="zh-CN"/>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447" w:type="dxa"/>
            <w:vAlign w:val="center"/>
          </w:tcPr>
          <w:p>
            <w:pPr>
              <w:widowControl/>
              <w:jc w:val="left"/>
              <w:rPr>
                <w:rStyle w:val="7"/>
                <w:rFonts w:hint="default" w:ascii="宋体" w:hAnsi="宋体"/>
                <w:sz w:val="20"/>
                <w:szCs w:val="20"/>
              </w:rPr>
            </w:pPr>
            <w:r>
              <w:rPr>
                <w:rStyle w:val="7"/>
                <w:rFonts w:hint="default" w:ascii="宋体" w:hAnsi="宋体"/>
                <w:sz w:val="20"/>
                <w:szCs w:val="20"/>
              </w:rPr>
              <w:t>4</w:t>
            </w:r>
          </w:p>
        </w:tc>
        <w:tc>
          <w:tcPr>
            <w:tcW w:w="2353" w:type="dxa"/>
            <w:vAlign w:val="center"/>
          </w:tcPr>
          <w:p>
            <w:pPr>
              <w:widowControl/>
              <w:jc w:val="left"/>
              <w:rPr>
                <w:rFonts w:hint="default" w:eastAsia="宋体"/>
                <w:sz w:val="24"/>
                <w:szCs w:val="24"/>
              </w:rPr>
            </w:pPr>
            <w:r>
              <w:rPr>
                <w:rFonts w:hint="eastAsia" w:ascii="Arial" w:hAnsi="Arial" w:cs="Arial"/>
                <w:sz w:val="24"/>
                <w:szCs w:val="24"/>
                <w:lang w:val="en-US"/>
              </w:rPr>
              <w:t>高清电子胃镜能提供</w:t>
            </w:r>
            <w:r>
              <w:rPr>
                <w:rFonts w:hint="eastAsia"/>
                <w:sz w:val="24"/>
                <w:szCs w:val="24"/>
                <w:lang w:val="en-US"/>
              </w:rPr>
              <w:t>手柄处具有快捷按钮</w:t>
            </w:r>
            <w:r>
              <w:rPr>
                <w:rFonts w:hint="default" w:ascii="Arial" w:hAnsi="Arial" w:cs="Arial"/>
                <w:sz w:val="24"/>
                <w:szCs w:val="24"/>
                <w:lang w:val="en-US"/>
              </w:rPr>
              <w:t>≥</w:t>
            </w:r>
            <w:r>
              <w:rPr>
                <w:rFonts w:hint="default" w:ascii="Arial" w:hAnsi="Arial" w:cs="Arial"/>
                <w:sz w:val="24"/>
                <w:szCs w:val="24"/>
              </w:rPr>
              <w:t>5</w:t>
            </w:r>
            <w:r>
              <w:rPr>
                <w:rFonts w:hint="eastAsia" w:ascii="Arial" w:hAnsi="Arial" w:cs="Arial"/>
                <w:sz w:val="24"/>
                <w:szCs w:val="24"/>
                <w:lang w:val="en-US"/>
              </w:rPr>
              <w:t>个以上</w:t>
            </w:r>
          </w:p>
        </w:tc>
        <w:tc>
          <w:tcPr>
            <w:tcW w:w="1620" w:type="dxa"/>
            <w:vAlign w:val="center"/>
          </w:tcPr>
          <w:p>
            <w:pPr>
              <w:widowControl/>
              <w:jc w:val="center"/>
              <w:rPr>
                <w:rStyle w:val="7"/>
                <w:rFonts w:hint="eastAsia" w:ascii="宋体" w:hAnsi="宋体" w:eastAsia="宋体"/>
                <w:b w:val="0"/>
                <w:bCs w:val="0"/>
                <w:sz w:val="20"/>
                <w:szCs w:val="20"/>
                <w:lang w:val="en-US"/>
              </w:rPr>
            </w:pPr>
            <w:r>
              <w:rPr>
                <w:rStyle w:val="7"/>
                <w:rFonts w:hint="eastAsia" w:ascii="宋体" w:hAnsi="宋体"/>
                <w:b w:val="0"/>
                <w:bCs w:val="0"/>
                <w:sz w:val="20"/>
                <w:szCs w:val="20"/>
                <w:lang w:val="en-US"/>
              </w:rPr>
              <w:t>无</w:t>
            </w:r>
          </w:p>
        </w:tc>
        <w:tc>
          <w:tcPr>
            <w:tcW w:w="1560" w:type="dxa"/>
            <w:vAlign w:val="center"/>
          </w:tcPr>
          <w:p>
            <w:pPr>
              <w:widowControl/>
              <w:jc w:val="center"/>
              <w:rPr>
                <w:rStyle w:val="7"/>
                <w:rFonts w:hint="eastAsia" w:ascii="宋体" w:hAnsi="宋体" w:eastAsia="宋体"/>
                <w:b w:val="0"/>
                <w:bCs w:val="0"/>
                <w:sz w:val="20"/>
                <w:szCs w:val="20"/>
                <w:lang w:val="en-US"/>
              </w:rPr>
            </w:pPr>
            <w:r>
              <w:rPr>
                <w:rStyle w:val="7"/>
                <w:rFonts w:hint="default" w:ascii="宋体" w:hAnsi="宋体" w:eastAsia="宋体"/>
                <w:b w:val="0"/>
                <w:bCs w:val="0"/>
                <w:sz w:val="20"/>
                <w:szCs w:val="20"/>
                <w:lang w:val="en-US"/>
              </w:rPr>
              <w:t>有</w:t>
            </w:r>
          </w:p>
        </w:tc>
        <w:tc>
          <w:tcPr>
            <w:tcW w:w="1650" w:type="dxa"/>
            <w:vAlign w:val="center"/>
          </w:tcPr>
          <w:p>
            <w:pPr>
              <w:jc w:val="center"/>
              <w:rPr>
                <w:rStyle w:val="7"/>
                <w:rFonts w:hint="eastAsia" w:ascii="宋体" w:hAnsi="宋体" w:eastAsia="宋体"/>
                <w:b w:val="0"/>
                <w:bCs w:val="0"/>
                <w:sz w:val="20"/>
                <w:szCs w:val="20"/>
                <w:lang w:val="en-US"/>
              </w:rPr>
            </w:pPr>
            <w:r>
              <w:rPr>
                <w:rStyle w:val="7"/>
                <w:rFonts w:hint="eastAsia" w:ascii="宋体" w:hAnsi="宋体"/>
                <w:b w:val="0"/>
                <w:bCs w:val="0"/>
                <w:sz w:val="20"/>
                <w:szCs w:val="20"/>
                <w:lang w:val="en-US"/>
              </w:rPr>
              <w:t>有</w:t>
            </w:r>
          </w:p>
        </w:tc>
        <w:tc>
          <w:tcPr>
            <w:tcW w:w="1500" w:type="dxa"/>
          </w:tcPr>
          <w:p>
            <w:pPr>
              <w:jc w:val="center"/>
              <w:rPr>
                <w:rFonts w:hint="eastAsia"/>
                <w:sz w:val="20"/>
                <w:szCs w:val="20"/>
                <w:lang w:val="en-US"/>
              </w:rPr>
            </w:pPr>
          </w:p>
          <w:p>
            <w:pPr>
              <w:ind w:firstLine="400" w:firstLineChars="200"/>
              <w:jc w:val="both"/>
              <w:rPr>
                <w:rFonts w:hint="eastAsia"/>
                <w:sz w:val="20"/>
                <w:szCs w:val="20"/>
                <w:lang w:val="en-US"/>
              </w:rPr>
            </w:pPr>
            <w:r>
              <w:rPr>
                <w:rFonts w:hint="eastAsia"/>
                <w:sz w:val="20"/>
                <w:szCs w:val="20"/>
                <w:lang w:val="en-US"/>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447" w:type="dxa"/>
            <w:vAlign w:val="center"/>
          </w:tcPr>
          <w:p>
            <w:pPr>
              <w:widowControl/>
              <w:jc w:val="left"/>
              <w:rPr>
                <w:rStyle w:val="7"/>
                <w:rFonts w:hint="default" w:ascii="宋体" w:hAnsi="宋体"/>
                <w:sz w:val="20"/>
                <w:szCs w:val="20"/>
              </w:rPr>
            </w:pPr>
            <w:r>
              <w:rPr>
                <w:rStyle w:val="7"/>
                <w:rFonts w:hint="default" w:ascii="宋体" w:hAnsi="宋体"/>
                <w:sz w:val="20"/>
                <w:szCs w:val="20"/>
              </w:rPr>
              <w:t>5</w:t>
            </w:r>
          </w:p>
        </w:tc>
        <w:tc>
          <w:tcPr>
            <w:tcW w:w="2353" w:type="dxa"/>
            <w:vAlign w:val="center"/>
          </w:tcPr>
          <w:p>
            <w:pPr>
              <w:widowControl/>
              <w:jc w:val="left"/>
              <w:rPr>
                <w:rFonts w:hint="default" w:ascii="Arial" w:hAnsi="Arial" w:cs="Arial"/>
                <w:sz w:val="24"/>
                <w:szCs w:val="24"/>
              </w:rPr>
            </w:pPr>
            <w:r>
              <w:rPr>
                <w:rFonts w:hint="eastAsia" w:ascii="Arial" w:hAnsi="Arial" w:cs="Arial"/>
                <w:sz w:val="24"/>
                <w:szCs w:val="24"/>
                <w:lang w:val="en-US"/>
              </w:rPr>
              <w:t>高清电子胃镜具有双焦距功能</w:t>
            </w:r>
            <w:r>
              <w:rPr>
                <w:rFonts w:hint="default" w:ascii="Arial" w:hAnsi="Arial" w:cs="Arial"/>
                <w:sz w:val="24"/>
                <w:szCs w:val="24"/>
              </w:rPr>
              <w:t>，</w:t>
            </w:r>
            <w:r>
              <w:rPr>
                <w:rFonts w:hint="eastAsia" w:ascii="Arial" w:hAnsi="Arial" w:cs="Arial"/>
                <w:sz w:val="24"/>
                <w:szCs w:val="24"/>
                <w:lang w:val="en-US"/>
              </w:rPr>
              <w:t>可以一键切换双焦距</w:t>
            </w:r>
            <w:r>
              <w:rPr>
                <w:rFonts w:hint="default" w:ascii="Arial" w:hAnsi="Arial" w:cs="Arial"/>
                <w:sz w:val="24"/>
                <w:szCs w:val="24"/>
              </w:rPr>
              <w:t>。</w:t>
            </w:r>
          </w:p>
        </w:tc>
        <w:tc>
          <w:tcPr>
            <w:tcW w:w="1620" w:type="dxa"/>
            <w:vAlign w:val="center"/>
          </w:tcPr>
          <w:p>
            <w:pPr>
              <w:widowControl/>
              <w:jc w:val="center"/>
              <w:rPr>
                <w:rStyle w:val="7"/>
                <w:rFonts w:hint="default" w:ascii="宋体" w:hAnsi="宋体"/>
                <w:b w:val="0"/>
                <w:bCs w:val="0"/>
                <w:sz w:val="20"/>
                <w:szCs w:val="20"/>
                <w:lang w:val="en-US"/>
              </w:rPr>
            </w:pPr>
            <w:r>
              <w:rPr>
                <w:rStyle w:val="7"/>
                <w:rFonts w:hint="eastAsia" w:ascii="宋体" w:hAnsi="宋体"/>
                <w:b w:val="0"/>
                <w:bCs w:val="0"/>
                <w:sz w:val="20"/>
                <w:szCs w:val="20"/>
                <w:lang w:val="en-US"/>
              </w:rPr>
              <w:t>无</w:t>
            </w:r>
          </w:p>
        </w:tc>
        <w:tc>
          <w:tcPr>
            <w:tcW w:w="1560" w:type="dxa"/>
            <w:vAlign w:val="center"/>
          </w:tcPr>
          <w:p>
            <w:pPr>
              <w:widowControl/>
              <w:jc w:val="center"/>
              <w:rPr>
                <w:rStyle w:val="7"/>
                <w:rFonts w:hint="default" w:ascii="宋体" w:hAnsi="宋体"/>
                <w:b w:val="0"/>
                <w:bCs w:val="0"/>
                <w:sz w:val="20"/>
                <w:szCs w:val="20"/>
                <w:lang w:val="en-US"/>
              </w:rPr>
            </w:pPr>
            <w:r>
              <w:rPr>
                <w:rStyle w:val="7"/>
                <w:rFonts w:hint="eastAsia" w:ascii="宋体" w:hAnsi="宋体"/>
                <w:b w:val="0"/>
                <w:bCs w:val="0"/>
                <w:sz w:val="20"/>
                <w:szCs w:val="20"/>
                <w:lang w:val="en-US"/>
              </w:rPr>
              <w:t>无</w:t>
            </w:r>
          </w:p>
        </w:tc>
        <w:tc>
          <w:tcPr>
            <w:tcW w:w="1650" w:type="dxa"/>
            <w:vAlign w:val="center"/>
          </w:tcPr>
          <w:p>
            <w:pPr>
              <w:jc w:val="center"/>
              <w:rPr>
                <w:rStyle w:val="7"/>
                <w:rFonts w:hint="default" w:ascii="宋体" w:hAnsi="宋体"/>
                <w:b w:val="0"/>
                <w:bCs w:val="0"/>
                <w:sz w:val="20"/>
                <w:szCs w:val="20"/>
                <w:lang w:val="en-US"/>
              </w:rPr>
            </w:pPr>
            <w:r>
              <w:rPr>
                <w:rStyle w:val="7"/>
                <w:rFonts w:hint="eastAsia" w:ascii="宋体" w:hAnsi="宋体"/>
                <w:b w:val="0"/>
                <w:bCs w:val="0"/>
                <w:sz w:val="20"/>
                <w:szCs w:val="20"/>
                <w:lang w:val="en-US"/>
              </w:rPr>
              <w:t>有</w:t>
            </w:r>
          </w:p>
        </w:tc>
        <w:tc>
          <w:tcPr>
            <w:tcW w:w="1500" w:type="dxa"/>
          </w:tcPr>
          <w:p>
            <w:pPr>
              <w:widowControl/>
              <w:jc w:val="both"/>
              <w:rPr>
                <w:rStyle w:val="7"/>
                <w:rFonts w:hint="eastAsia" w:ascii="宋体" w:hAnsi="宋体"/>
                <w:b w:val="0"/>
                <w:bCs w:val="0"/>
                <w:sz w:val="20"/>
                <w:szCs w:val="20"/>
                <w:lang w:val="en-US"/>
              </w:rPr>
            </w:pPr>
          </w:p>
          <w:p>
            <w:pPr>
              <w:widowControl/>
              <w:jc w:val="center"/>
              <w:rPr>
                <w:rStyle w:val="7"/>
                <w:rFonts w:hint="eastAsia" w:ascii="宋体" w:hAnsi="宋体"/>
                <w:b w:val="0"/>
                <w:bCs w:val="0"/>
                <w:sz w:val="20"/>
                <w:szCs w:val="20"/>
                <w:lang w:val="en-US"/>
              </w:rPr>
            </w:pPr>
          </w:p>
          <w:p>
            <w:pPr>
              <w:widowControl/>
              <w:jc w:val="center"/>
              <w:rPr>
                <w:rStyle w:val="7"/>
                <w:rFonts w:hint="default" w:ascii="宋体" w:hAnsi="宋体"/>
                <w:b w:val="0"/>
                <w:bCs w:val="0"/>
                <w:sz w:val="20"/>
                <w:szCs w:val="20"/>
                <w:lang w:val="en-US"/>
              </w:rPr>
            </w:pPr>
            <w:r>
              <w:rPr>
                <w:rStyle w:val="7"/>
                <w:rFonts w:hint="eastAsia" w:ascii="宋体" w:hAnsi="宋体"/>
                <w:b w:val="0"/>
                <w:bCs w:val="0"/>
                <w:sz w:val="20"/>
                <w:szCs w:val="20"/>
                <w:lang w:val="en-US"/>
              </w:rPr>
              <w:t>无</w:t>
            </w:r>
          </w:p>
        </w:tc>
      </w:tr>
    </w:tbl>
    <w:p>
      <w:pPr>
        <w:pStyle w:val="2"/>
      </w:pPr>
    </w:p>
    <w:p>
      <w:pPr>
        <w:rPr>
          <w:rFonts w:ascii="宋体" w:hAnsi="宋体" w:cs="宋体"/>
          <w:sz w:val="24"/>
          <w:szCs w:val="24"/>
        </w:rPr>
      </w:pPr>
    </w:p>
    <w:p>
      <w:pPr>
        <w:numPr>
          <w:ilvl w:val="0"/>
          <w:numId w:val="1"/>
        </w:num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国产、进口产品的核心技术标准与采购需求标准的对比情况。</w:t>
      </w:r>
    </w:p>
    <w:p>
      <w:pPr>
        <w:numPr>
          <w:ilvl w:val="0"/>
          <w:numId w:val="2"/>
        </w:num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需求调查过程</w:t>
      </w:r>
    </w:p>
    <w:p>
      <w:pPr>
        <w:ind w:firstLine="640" w:firstLineChars="200"/>
      </w:pPr>
      <w:r>
        <w:rPr>
          <w:rFonts w:hint="eastAsia" w:ascii="仿宋" w:hAnsi="仿宋" w:eastAsia="仿宋" w:cs="仿宋"/>
          <w:sz w:val="32"/>
          <w:szCs w:val="32"/>
        </w:rPr>
        <w:t>本着公平、公正、公开的原则，我院针对此次采购项目的消化内镜中心电子内镜系统等设备，</w:t>
      </w:r>
      <w:r>
        <w:rPr>
          <w:rFonts w:hint="eastAsia" w:ascii="仿宋" w:hAnsi="仿宋" w:eastAsia="仿宋" w:cs="仿宋"/>
          <w:sz w:val="32"/>
          <w:szCs w:val="32"/>
          <w:lang w:val="en-US" w:eastAsia="zh-CN"/>
        </w:rPr>
        <w:t>于2023年4月28日</w:t>
      </w:r>
      <w:r>
        <w:rPr>
          <w:rFonts w:hint="eastAsia" w:ascii="仿宋" w:hAnsi="仿宋" w:eastAsia="仿宋" w:cs="仿宋"/>
          <w:sz w:val="32"/>
          <w:szCs w:val="32"/>
        </w:rPr>
        <w:t>在福建医科大学附属第二医院门户网站上向社会公开了采购需求，邀请各电子内镜系统、电子胃镜、电子肠镜厂商参与项目竞争。</w:t>
      </w:r>
      <w:r>
        <w:rPr>
          <w:rFonts w:hint="eastAsia" w:ascii="仿宋_GB2312" w:hAnsi="宋体" w:eastAsia="仿宋_GB2312" w:cs="宋体"/>
          <w:sz w:val="32"/>
          <w:szCs w:val="32"/>
        </w:rPr>
        <w:t>为确保在调研论证时能囊括大部分市场主流国内外品牌，在公开征集调研对象时，均设置基础公共参数作为标准。</w:t>
      </w:r>
      <w:r>
        <w:rPr>
          <w:rFonts w:hint="eastAsia" w:ascii="仿宋" w:hAnsi="仿宋" w:eastAsia="仿宋" w:cs="仿宋"/>
          <w:sz w:val="32"/>
          <w:szCs w:val="32"/>
        </w:rPr>
        <w:t>共有四个厂商报名参与了电子内镜系统、电子胃镜、电子肠镜设备的推介，分别是日本奥林巴斯品牌、日本富士能品牌、国产上海澳华品牌、国产深圳开立品牌。我院于202</w:t>
      </w:r>
      <w:r>
        <w:rPr>
          <w:rFonts w:ascii="仿宋" w:hAnsi="仿宋" w:eastAsia="仿宋" w:cs="仿宋"/>
          <w:sz w:val="32"/>
          <w:szCs w:val="32"/>
        </w:rPr>
        <w:t>3</w:t>
      </w:r>
      <w:r>
        <w:rPr>
          <w:rFonts w:hint="eastAsia" w:ascii="仿宋" w:hAnsi="仿宋" w:eastAsia="仿宋" w:cs="仿宋"/>
          <w:sz w:val="32"/>
          <w:szCs w:val="32"/>
        </w:rPr>
        <w:t>年</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25</w:t>
      </w:r>
      <w:r>
        <w:rPr>
          <w:rFonts w:hint="eastAsia" w:ascii="仿宋" w:hAnsi="仿宋" w:eastAsia="仿宋" w:cs="仿宋"/>
          <w:sz w:val="32"/>
          <w:szCs w:val="32"/>
        </w:rPr>
        <w:t>日召开了设备的</w:t>
      </w:r>
      <w:r>
        <w:rPr>
          <w:rFonts w:hint="eastAsia" w:ascii="仿宋" w:hAnsi="仿宋" w:eastAsia="仿宋" w:cs="仿宋"/>
          <w:sz w:val="32"/>
          <w:szCs w:val="32"/>
          <w:lang w:val="en-US" w:eastAsia="zh-CN"/>
        </w:rPr>
        <w:t>论证询价</w:t>
      </w:r>
      <w:r>
        <w:rPr>
          <w:rFonts w:hint="eastAsia" w:ascii="仿宋" w:hAnsi="仿宋" w:eastAsia="仿宋" w:cs="仿宋"/>
          <w:sz w:val="32"/>
          <w:szCs w:val="32"/>
        </w:rPr>
        <w:t>会，</w:t>
      </w:r>
      <w:r>
        <w:rPr>
          <w:rFonts w:hint="eastAsia" w:ascii="仿宋_GB2312" w:hAnsi="宋体" w:eastAsia="仿宋_GB2312" w:cs="宋体"/>
          <w:sz w:val="32"/>
          <w:szCs w:val="32"/>
        </w:rPr>
        <w:t>经充分公开征集，该项目共有</w:t>
      </w:r>
      <w:r>
        <w:rPr>
          <w:rFonts w:ascii="仿宋_GB2312" w:hAnsi="宋体" w:eastAsia="仿宋_GB2312" w:cs="宋体"/>
          <w:sz w:val="32"/>
          <w:szCs w:val="32"/>
        </w:rPr>
        <w:t>4</w:t>
      </w:r>
      <w:r>
        <w:rPr>
          <w:rFonts w:hint="eastAsia" w:ascii="仿宋_GB2312" w:hAnsi="宋体" w:eastAsia="仿宋_GB2312" w:cs="宋体"/>
          <w:sz w:val="32"/>
          <w:szCs w:val="32"/>
        </w:rPr>
        <w:t>家品牌厂家提供产品资料参与论证，品牌型号包括深圳开立、上海澳华、日本奥林巴斯、日本富士能。</w:t>
      </w:r>
    </w:p>
    <w:p>
      <w:pPr>
        <w:numPr>
          <w:ilvl w:val="0"/>
          <w:numId w:val="2"/>
        </w:numPr>
        <w:ind w:left="0" w:leftChars="0"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调查结论</w:t>
      </w:r>
    </w:p>
    <w:p>
      <w:pPr>
        <w:numPr>
          <w:ilvl w:val="0"/>
          <w:numId w:val="0"/>
        </w:numPr>
        <w:ind w:leftChars="200" w:firstLine="320" w:firstLineChars="100"/>
        <w:rPr>
          <w:rFonts w:hint="eastAsia" w:ascii="仿宋_GB2312" w:hAnsi="宋体" w:eastAsia="仿宋_GB2312" w:cs="宋体"/>
          <w:sz w:val="32"/>
          <w:szCs w:val="32"/>
        </w:rPr>
      </w:pPr>
      <w:r>
        <w:rPr>
          <w:rFonts w:hint="eastAsia" w:ascii="仿宋" w:hAnsi="仿宋" w:eastAsia="仿宋" w:cs="仿宋"/>
          <w:sz w:val="32"/>
          <w:szCs w:val="32"/>
        </w:rPr>
        <w:t>通过各产商的设备介绍和性能比较，得出</w:t>
      </w:r>
      <w:r>
        <w:rPr>
          <w:rFonts w:hint="eastAsia" w:ascii="仿宋" w:hAnsi="仿宋" w:eastAsia="仿宋" w:cs="仿宋"/>
          <w:sz w:val="32"/>
          <w:szCs w:val="32"/>
          <w:lang w:val="en-US" w:eastAsia="zh-CN"/>
        </w:rPr>
        <w:t>如下结论：</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（1）根据科室对电子内镜主机关键参数具备“电子内镜系统需</w:t>
      </w:r>
      <w:r>
        <w:rPr>
          <w:rFonts w:hint="eastAsia" w:ascii="仿宋_GB2312" w:hAnsi="宋体" w:eastAsia="仿宋_GB2312" w:cs="宋体"/>
          <w:sz w:val="32"/>
          <w:szCs w:val="32"/>
          <w:lang w:val="en-US" w:eastAsia="zh-CN"/>
        </w:rPr>
        <w:t>具备拓展兼容小肠镜</w:t>
      </w:r>
      <w:r>
        <w:rPr>
          <w:rFonts w:hint="eastAsia" w:ascii="仿宋_GB2312" w:hAnsi="宋体" w:eastAsia="仿宋_GB2312" w:cs="宋体"/>
          <w:sz w:val="32"/>
          <w:szCs w:val="32"/>
        </w:rPr>
        <w:t>”的需求调研发现：</w:t>
      </w:r>
    </w:p>
    <w:p>
      <w:pPr>
        <w:ind w:firstLine="640" w:firstLineChars="200"/>
        <w:rPr>
          <w:rFonts w:hint="default" w:ascii="仿宋_GB2312" w:hAnsi="宋体" w:eastAsia="仿宋_GB2312" w:cs="宋体"/>
          <w:sz w:val="32"/>
          <w:szCs w:val="32"/>
          <w:lang w:val="en-US"/>
        </w:rPr>
      </w:pPr>
      <w:r>
        <w:rPr>
          <w:rFonts w:hint="eastAsia" w:ascii="仿宋_GB2312" w:hAnsi="宋体" w:eastAsia="仿宋_GB2312" w:cs="宋体"/>
          <w:sz w:val="32"/>
          <w:szCs w:val="32"/>
          <w:lang w:val="en-US" w:eastAsia="zh-CN"/>
        </w:rPr>
        <w:t>进口奥林巴斯具有可以后期可以拓展的小肠镜系统，可以应用于发现并诊治小肠疾病，国产开立及澳华均不具备支持后期可以拓展小肠镜系统，不符合要求。</w:t>
      </w:r>
    </w:p>
    <w:p>
      <w:pPr>
        <w:numPr>
          <w:ilvl w:val="0"/>
          <w:numId w:val="3"/>
        </w:num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根据使用科室对</w:t>
      </w:r>
      <w:r>
        <w:rPr>
          <w:rFonts w:hint="eastAsia" w:ascii="仿宋_GB2312" w:hAnsi="宋体" w:eastAsia="仿宋_GB2312" w:cs="宋体"/>
          <w:sz w:val="32"/>
          <w:szCs w:val="32"/>
          <w:lang w:val="en-US"/>
        </w:rPr>
        <w:t>高清</w:t>
      </w:r>
      <w:r>
        <w:rPr>
          <w:rFonts w:hint="eastAsia" w:ascii="仿宋_GB2312" w:hAnsi="宋体" w:eastAsia="仿宋_GB2312" w:cs="宋体"/>
          <w:sz w:val="32"/>
          <w:szCs w:val="32"/>
        </w:rPr>
        <w:t>电子</w:t>
      </w:r>
      <w:r>
        <w:rPr>
          <w:rFonts w:hint="eastAsia" w:ascii="仿宋_GB2312" w:hAnsi="宋体" w:eastAsia="仿宋_GB2312" w:cs="宋体"/>
          <w:sz w:val="32"/>
          <w:szCs w:val="32"/>
          <w:lang w:val="en-US"/>
        </w:rPr>
        <w:t>胃</w:t>
      </w:r>
      <w:r>
        <w:rPr>
          <w:rFonts w:hint="eastAsia" w:ascii="仿宋_GB2312" w:hAnsi="宋体" w:eastAsia="仿宋_GB2312" w:cs="宋体"/>
          <w:sz w:val="32"/>
          <w:szCs w:val="32"/>
        </w:rPr>
        <w:t>镜设备关键参数具备“</w:t>
      </w:r>
      <w:r>
        <w:rPr>
          <w:rFonts w:hint="eastAsia" w:ascii="仿宋_GB2312" w:hAnsi="宋体" w:eastAsia="仿宋_GB2312" w:cs="宋体"/>
          <w:sz w:val="32"/>
          <w:szCs w:val="32"/>
          <w:lang w:val="en-US"/>
        </w:rPr>
        <w:t>高清</w:t>
      </w:r>
      <w:r>
        <w:rPr>
          <w:rFonts w:hint="eastAsia" w:ascii="仿宋_GB2312" w:hAnsi="宋体" w:eastAsia="仿宋_GB2312" w:cs="宋体"/>
          <w:sz w:val="32"/>
          <w:szCs w:val="32"/>
          <w:lang w:val="en-US" w:eastAsia="zh-CN"/>
        </w:rPr>
        <w:t>胃镜先端外径≤</w:t>
      </w:r>
      <w:r>
        <w:rPr>
          <w:rFonts w:hint="default" w:ascii="仿宋_GB2312" w:hAnsi="宋体" w:eastAsia="仿宋_GB2312" w:cs="宋体"/>
          <w:sz w:val="32"/>
          <w:szCs w:val="32"/>
          <w:lang w:eastAsia="zh-CN"/>
        </w:rPr>
        <w:t>9</w:t>
      </w:r>
      <w:r>
        <w:rPr>
          <w:rFonts w:hint="eastAsia" w:ascii="仿宋_GB2312" w:hAnsi="宋体" w:eastAsia="仿宋_GB2312" w:cs="宋体"/>
          <w:sz w:val="32"/>
          <w:szCs w:val="32"/>
          <w:lang w:val="en-US" w:eastAsia="zh-CN"/>
        </w:rPr>
        <w:t>mm</w:t>
      </w:r>
      <w:r>
        <w:rPr>
          <w:rFonts w:hint="default" w:ascii="仿宋_GB2312" w:hAnsi="宋体" w:eastAsia="仿宋_GB2312" w:cs="宋体"/>
          <w:sz w:val="32"/>
          <w:szCs w:val="32"/>
          <w:lang w:eastAsia="zh-CN"/>
        </w:rPr>
        <w:t>，</w:t>
      </w:r>
      <w:r>
        <w:rPr>
          <w:rFonts w:hint="eastAsia" w:ascii="仿宋_GB2312" w:hAnsi="宋体" w:eastAsia="仿宋_GB2312" w:cs="宋体"/>
          <w:sz w:val="32"/>
          <w:szCs w:val="32"/>
          <w:lang w:val="en-US"/>
        </w:rPr>
        <w:t>且同时钳道内径</w:t>
      </w:r>
      <w:r>
        <w:rPr>
          <w:rFonts w:hint="default" w:ascii="仿宋_GB2312" w:hAnsi="宋体" w:eastAsia="仿宋_GB2312" w:cs="宋体"/>
          <w:sz w:val="32"/>
          <w:szCs w:val="32"/>
          <w:lang w:val="en-US"/>
        </w:rPr>
        <w:t>≥</w:t>
      </w:r>
      <w:r>
        <w:rPr>
          <w:rFonts w:hint="default" w:ascii="仿宋_GB2312" w:hAnsi="宋体" w:eastAsia="仿宋_GB2312" w:cs="宋体"/>
          <w:sz w:val="32"/>
          <w:szCs w:val="32"/>
        </w:rPr>
        <w:t>2</w:t>
      </w:r>
      <w:r>
        <w:rPr>
          <w:rFonts w:hint="eastAsia" w:ascii="仿宋_GB2312" w:hAnsi="宋体" w:eastAsia="仿宋_GB2312" w:cs="宋体"/>
          <w:sz w:val="32"/>
          <w:szCs w:val="32"/>
          <w:lang w:val="en-US"/>
        </w:rPr>
        <w:t>.</w:t>
      </w:r>
      <w:r>
        <w:rPr>
          <w:rFonts w:hint="default" w:ascii="仿宋_GB2312" w:hAnsi="宋体" w:eastAsia="仿宋_GB2312" w:cs="宋体"/>
          <w:sz w:val="32"/>
          <w:szCs w:val="32"/>
        </w:rPr>
        <w:t>8</w:t>
      </w:r>
      <w:r>
        <w:rPr>
          <w:rFonts w:hint="eastAsia" w:ascii="仿宋_GB2312" w:hAnsi="宋体" w:eastAsia="仿宋_GB2312" w:cs="宋体"/>
          <w:sz w:val="32"/>
          <w:szCs w:val="32"/>
          <w:lang w:val="en-US"/>
        </w:rPr>
        <w:t>mm</w:t>
      </w:r>
      <w:r>
        <w:rPr>
          <w:rFonts w:hint="eastAsia" w:ascii="仿宋_GB2312" w:hAnsi="宋体" w:eastAsia="仿宋_GB2312" w:cs="宋体"/>
          <w:sz w:val="32"/>
          <w:szCs w:val="32"/>
        </w:rPr>
        <w:t>”的需求调研发现：</w:t>
      </w:r>
      <w:r>
        <w:rPr>
          <w:rFonts w:hint="eastAsia" w:ascii="仿宋_GB2312" w:hAnsi="宋体" w:eastAsia="仿宋_GB2312" w:cs="宋体"/>
          <w:sz w:val="32"/>
          <w:szCs w:val="32"/>
          <w:lang w:val="en-US" w:eastAsia="zh-CN"/>
        </w:rPr>
        <w:t>先端部≤</w:t>
      </w:r>
      <w:r>
        <w:rPr>
          <w:rFonts w:hint="default" w:ascii="仿宋_GB2312" w:hAnsi="宋体" w:eastAsia="仿宋_GB2312" w:cs="宋体"/>
          <w:sz w:val="32"/>
          <w:szCs w:val="32"/>
          <w:lang w:eastAsia="zh-CN"/>
        </w:rPr>
        <w:t>9</w:t>
      </w:r>
      <w:r>
        <w:rPr>
          <w:rFonts w:hint="eastAsia" w:ascii="仿宋_GB2312" w:hAnsi="宋体" w:eastAsia="仿宋_GB2312" w:cs="宋体"/>
          <w:sz w:val="32"/>
          <w:szCs w:val="32"/>
          <w:lang w:val="en-US" w:eastAsia="zh-CN"/>
        </w:rPr>
        <w:t>mm，</w:t>
      </w:r>
      <w:r>
        <w:rPr>
          <w:rFonts w:hint="eastAsia" w:ascii="仿宋_GB2312" w:hAnsi="宋体" w:eastAsia="仿宋_GB2312" w:cs="宋体"/>
          <w:sz w:val="32"/>
          <w:szCs w:val="32"/>
          <w:lang w:val="en-US"/>
        </w:rPr>
        <w:t>且同时钳道内径</w:t>
      </w:r>
      <w:r>
        <w:rPr>
          <w:rFonts w:hint="default" w:ascii="仿宋_GB2312" w:hAnsi="宋体" w:eastAsia="仿宋_GB2312" w:cs="宋体"/>
          <w:sz w:val="32"/>
          <w:szCs w:val="32"/>
          <w:lang w:val="en-US"/>
        </w:rPr>
        <w:t>≥</w:t>
      </w:r>
      <w:r>
        <w:rPr>
          <w:rFonts w:hint="default" w:ascii="仿宋_GB2312" w:hAnsi="宋体" w:eastAsia="仿宋_GB2312" w:cs="宋体"/>
          <w:sz w:val="32"/>
          <w:szCs w:val="32"/>
        </w:rPr>
        <w:t>2</w:t>
      </w:r>
      <w:r>
        <w:rPr>
          <w:rFonts w:hint="eastAsia" w:ascii="仿宋_GB2312" w:hAnsi="宋体" w:eastAsia="仿宋_GB2312" w:cs="宋体"/>
          <w:sz w:val="32"/>
          <w:szCs w:val="32"/>
          <w:lang w:val="en-US"/>
        </w:rPr>
        <w:t>.</w:t>
      </w:r>
      <w:r>
        <w:rPr>
          <w:rFonts w:hint="default" w:ascii="仿宋_GB2312" w:hAnsi="宋体" w:eastAsia="仿宋_GB2312" w:cs="宋体"/>
          <w:sz w:val="32"/>
          <w:szCs w:val="32"/>
        </w:rPr>
        <w:t>8</w:t>
      </w:r>
      <w:r>
        <w:rPr>
          <w:rFonts w:hint="eastAsia" w:ascii="仿宋_GB2312" w:hAnsi="宋体" w:eastAsia="仿宋_GB2312" w:cs="宋体"/>
          <w:sz w:val="32"/>
          <w:szCs w:val="32"/>
          <w:lang w:val="en-US"/>
        </w:rPr>
        <w:t>mm</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国产品牌均</w:t>
      </w:r>
      <w:r>
        <w:rPr>
          <w:rFonts w:hint="eastAsia" w:ascii="仿宋_GB2312" w:hAnsi="宋体" w:eastAsia="仿宋_GB2312" w:cs="宋体"/>
          <w:sz w:val="32"/>
          <w:szCs w:val="32"/>
        </w:rPr>
        <w:t>达</w:t>
      </w:r>
      <w:r>
        <w:rPr>
          <w:rFonts w:hint="eastAsia" w:ascii="仿宋_GB2312" w:hAnsi="宋体" w:eastAsia="仿宋_GB2312" w:cs="宋体"/>
          <w:sz w:val="32"/>
          <w:szCs w:val="32"/>
          <w:lang w:val="en-US" w:eastAsia="zh-CN"/>
        </w:rPr>
        <w:t>不到相关</w:t>
      </w:r>
      <w:r>
        <w:rPr>
          <w:rFonts w:hint="eastAsia" w:ascii="仿宋_GB2312" w:hAnsi="宋体" w:eastAsia="仿宋_GB2312" w:cs="宋体"/>
          <w:sz w:val="32"/>
          <w:szCs w:val="32"/>
        </w:rPr>
        <w:t>要求</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进口品牌可达到</w:t>
      </w:r>
      <w:r>
        <w:rPr>
          <w:rFonts w:hint="default" w:ascii="仿宋_GB2312" w:hAnsi="宋体" w:eastAsia="仿宋_GB2312" w:cs="宋体"/>
          <w:sz w:val="32"/>
          <w:szCs w:val="32"/>
        </w:rPr>
        <w:t>。</w:t>
      </w:r>
    </w:p>
    <w:p>
      <w:pPr>
        <w:numPr>
          <w:ilvl w:val="0"/>
          <w:numId w:val="3"/>
        </w:numPr>
        <w:ind w:left="0" w:leftChars="0"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根据使用科室对电子内镜主机设备关键参数具备“电子内镜系统需</w:t>
      </w:r>
      <w:r>
        <w:rPr>
          <w:rFonts w:hint="eastAsia" w:ascii="仿宋_GB2312" w:hAnsi="宋体" w:eastAsia="仿宋_GB2312" w:cs="宋体"/>
          <w:sz w:val="32"/>
          <w:szCs w:val="32"/>
          <w:lang w:val="en-US" w:eastAsia="zh-CN"/>
        </w:rPr>
        <w:t>具备拓展兼容双钳道内镜功能</w:t>
      </w:r>
      <w:r>
        <w:rPr>
          <w:rFonts w:hint="eastAsia" w:ascii="仿宋_GB2312" w:hAnsi="宋体" w:eastAsia="仿宋_GB2312" w:cs="宋体"/>
          <w:sz w:val="32"/>
          <w:szCs w:val="32"/>
        </w:rPr>
        <w:t>”的需求调研发现：</w:t>
      </w:r>
      <w:r>
        <w:rPr>
          <w:rFonts w:hint="eastAsia" w:ascii="仿宋_GB2312" w:hAnsi="宋体" w:eastAsia="仿宋_GB2312" w:cs="宋体"/>
          <w:sz w:val="32"/>
          <w:szCs w:val="32"/>
          <w:lang w:val="en-US" w:eastAsia="zh-CN"/>
        </w:rPr>
        <w:t>国产开立及澳华均不具备支持后期可以拓展双钳道内镜要求，对于复杂的疑难病例手术操作，会需要更多的手术时间来完成手术操作，对于可以降低手术风险的手术操作会较为不利。</w:t>
      </w:r>
    </w:p>
    <w:p>
      <w:pPr>
        <w:numPr>
          <w:ilvl w:val="0"/>
          <w:numId w:val="3"/>
        </w:numPr>
        <w:ind w:left="0" w:leftChars="0"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根据使用科室对</w:t>
      </w:r>
      <w:r>
        <w:rPr>
          <w:rFonts w:hint="eastAsia" w:ascii="仿宋_GB2312" w:hAnsi="宋体" w:eastAsia="仿宋_GB2312" w:cs="宋体"/>
          <w:sz w:val="32"/>
          <w:szCs w:val="32"/>
          <w:lang w:val="en-US"/>
        </w:rPr>
        <w:t>高清</w:t>
      </w:r>
      <w:r>
        <w:rPr>
          <w:rFonts w:hint="eastAsia" w:ascii="仿宋_GB2312" w:hAnsi="宋体" w:eastAsia="仿宋_GB2312" w:cs="宋体"/>
          <w:sz w:val="32"/>
          <w:szCs w:val="32"/>
        </w:rPr>
        <w:t>电子</w:t>
      </w:r>
      <w:r>
        <w:rPr>
          <w:rFonts w:hint="eastAsia" w:ascii="仿宋_GB2312" w:hAnsi="宋体" w:eastAsia="仿宋_GB2312" w:cs="宋体"/>
          <w:sz w:val="32"/>
          <w:szCs w:val="32"/>
          <w:lang w:val="en-US"/>
        </w:rPr>
        <w:t>胃</w:t>
      </w:r>
      <w:r>
        <w:rPr>
          <w:rFonts w:hint="eastAsia" w:ascii="仿宋_GB2312" w:hAnsi="宋体" w:eastAsia="仿宋_GB2312" w:cs="宋体"/>
          <w:sz w:val="32"/>
          <w:szCs w:val="32"/>
        </w:rPr>
        <w:t>镜设备关键参数具备“</w:t>
      </w:r>
      <w:r>
        <w:rPr>
          <w:rFonts w:hint="eastAsia" w:ascii="仿宋_GB2312" w:hAnsi="宋体" w:eastAsia="仿宋_GB2312" w:cs="宋体"/>
          <w:sz w:val="32"/>
          <w:szCs w:val="32"/>
          <w:lang w:val="en-US"/>
        </w:rPr>
        <w:t>高清电子胃镜</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能提供手柄处具有快捷按钮</w:t>
      </w:r>
      <w:r>
        <w:rPr>
          <w:rFonts w:hint="default" w:ascii="仿宋_GB2312" w:hAnsi="宋体" w:eastAsia="仿宋_GB2312" w:cs="宋体"/>
          <w:sz w:val="32"/>
          <w:szCs w:val="32"/>
          <w:lang w:val="en-US"/>
        </w:rPr>
        <w:t>≥</w:t>
      </w:r>
      <w:r>
        <w:rPr>
          <w:rFonts w:hint="default" w:ascii="仿宋_GB2312" w:hAnsi="宋体" w:eastAsia="仿宋_GB2312" w:cs="宋体"/>
          <w:sz w:val="32"/>
          <w:szCs w:val="32"/>
        </w:rPr>
        <w:t>5</w:t>
      </w:r>
      <w:r>
        <w:rPr>
          <w:rFonts w:hint="eastAsia" w:ascii="仿宋_GB2312" w:hAnsi="宋体" w:eastAsia="仿宋_GB2312" w:cs="宋体"/>
          <w:sz w:val="32"/>
          <w:szCs w:val="32"/>
          <w:lang w:val="en-US"/>
        </w:rPr>
        <w:t>个以上”</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国产品牌</w:t>
      </w:r>
      <w:r>
        <w:rPr>
          <w:rFonts w:hint="eastAsia" w:ascii="仿宋_GB2312" w:hAnsi="宋体" w:eastAsia="仿宋_GB2312" w:cs="宋体"/>
          <w:sz w:val="32"/>
          <w:szCs w:val="32"/>
        </w:rPr>
        <w:t>达</w:t>
      </w:r>
      <w:r>
        <w:rPr>
          <w:rFonts w:hint="eastAsia" w:ascii="仿宋_GB2312" w:hAnsi="宋体" w:eastAsia="仿宋_GB2312" w:cs="宋体"/>
          <w:sz w:val="32"/>
          <w:szCs w:val="32"/>
          <w:lang w:val="en-US" w:eastAsia="zh-CN"/>
        </w:rPr>
        <w:t>不到相关</w:t>
      </w:r>
      <w:r>
        <w:rPr>
          <w:rFonts w:hint="eastAsia" w:ascii="仿宋_GB2312" w:hAnsi="宋体" w:eastAsia="仿宋_GB2312" w:cs="宋体"/>
          <w:sz w:val="32"/>
          <w:szCs w:val="32"/>
        </w:rPr>
        <w:t>要求</w:t>
      </w:r>
      <w:r>
        <w:rPr>
          <w:rFonts w:hint="default" w:ascii="仿宋_GB2312" w:hAnsi="宋体" w:eastAsia="仿宋_GB2312" w:cs="宋体"/>
          <w:sz w:val="32"/>
          <w:szCs w:val="32"/>
        </w:rPr>
        <w:t>。</w:t>
      </w:r>
    </w:p>
    <w:p>
      <w:pPr>
        <w:numPr>
          <w:ilvl w:val="0"/>
          <w:numId w:val="3"/>
        </w:numPr>
        <w:ind w:left="0" w:leftChars="0"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rPr>
        <w:t>根据使用科室对</w:t>
      </w:r>
      <w:r>
        <w:rPr>
          <w:rFonts w:hint="eastAsia" w:ascii="仿宋_GB2312" w:hAnsi="宋体" w:eastAsia="仿宋_GB2312" w:cs="宋体"/>
          <w:sz w:val="32"/>
          <w:szCs w:val="32"/>
          <w:lang w:val="en-US"/>
        </w:rPr>
        <w:t>高清</w:t>
      </w:r>
      <w:r>
        <w:rPr>
          <w:rFonts w:hint="eastAsia" w:ascii="仿宋_GB2312" w:hAnsi="宋体" w:eastAsia="仿宋_GB2312" w:cs="宋体"/>
          <w:sz w:val="32"/>
          <w:szCs w:val="32"/>
        </w:rPr>
        <w:t>电子</w:t>
      </w:r>
      <w:r>
        <w:rPr>
          <w:rFonts w:hint="eastAsia" w:ascii="仿宋_GB2312" w:hAnsi="宋体" w:eastAsia="仿宋_GB2312" w:cs="宋体"/>
          <w:sz w:val="32"/>
          <w:szCs w:val="32"/>
          <w:lang w:val="en-US"/>
        </w:rPr>
        <w:t>胃</w:t>
      </w:r>
      <w:r>
        <w:rPr>
          <w:rFonts w:hint="eastAsia" w:ascii="仿宋_GB2312" w:hAnsi="宋体" w:eastAsia="仿宋_GB2312" w:cs="宋体"/>
          <w:sz w:val="32"/>
          <w:szCs w:val="32"/>
        </w:rPr>
        <w:t>镜</w:t>
      </w:r>
      <w:r>
        <w:rPr>
          <w:rFonts w:hint="eastAsia" w:ascii="仿宋_GB2312" w:hAnsi="宋体" w:eastAsia="仿宋_GB2312" w:cs="宋体"/>
          <w:sz w:val="32"/>
          <w:szCs w:val="32"/>
          <w:lang w:val="en-US"/>
        </w:rPr>
        <w:t>设备</w:t>
      </w:r>
      <w:r>
        <w:rPr>
          <w:rFonts w:hint="eastAsia" w:ascii="仿宋_GB2312" w:hAnsi="宋体" w:eastAsia="仿宋_GB2312" w:cs="宋体"/>
          <w:sz w:val="32"/>
          <w:szCs w:val="32"/>
        </w:rPr>
        <w:t>关键参数具备“</w:t>
      </w:r>
      <w:r>
        <w:rPr>
          <w:rFonts w:hint="eastAsia" w:ascii="仿宋_GB2312" w:hAnsi="宋体" w:eastAsia="仿宋_GB2312" w:cs="宋体"/>
          <w:sz w:val="32"/>
          <w:szCs w:val="32"/>
          <w:lang w:val="en-US"/>
        </w:rPr>
        <w:t>具有双焦距功能</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可以一键切换双焦距”了解</w:t>
      </w:r>
      <w:r>
        <w:rPr>
          <w:rFonts w:hint="default" w:ascii="仿宋_GB2312" w:hAnsi="宋体" w:eastAsia="仿宋_GB2312" w:cs="宋体"/>
          <w:sz w:val="32"/>
          <w:szCs w:val="32"/>
        </w:rPr>
        <w:t>，</w:t>
      </w:r>
      <w:r>
        <w:rPr>
          <w:rFonts w:hint="eastAsia" w:ascii="仿宋_GB2312" w:hAnsi="宋体" w:eastAsia="仿宋_GB2312" w:cs="宋体"/>
          <w:sz w:val="32"/>
          <w:szCs w:val="32"/>
          <w:lang w:val="en-US"/>
        </w:rPr>
        <w:t>国产品牌</w:t>
      </w:r>
      <w:r>
        <w:rPr>
          <w:rFonts w:hint="eastAsia" w:ascii="仿宋_GB2312" w:hAnsi="宋体" w:eastAsia="仿宋_GB2312" w:cs="宋体"/>
          <w:sz w:val="32"/>
          <w:szCs w:val="32"/>
        </w:rPr>
        <w:t>达</w:t>
      </w:r>
      <w:r>
        <w:rPr>
          <w:rFonts w:hint="eastAsia" w:ascii="仿宋_GB2312" w:hAnsi="宋体" w:eastAsia="仿宋_GB2312" w:cs="宋体"/>
          <w:sz w:val="32"/>
          <w:szCs w:val="32"/>
          <w:lang w:val="en-US" w:eastAsia="zh-CN"/>
        </w:rPr>
        <w:t>不到相关</w:t>
      </w:r>
      <w:r>
        <w:rPr>
          <w:rFonts w:hint="eastAsia" w:ascii="仿宋_GB2312" w:hAnsi="宋体" w:eastAsia="仿宋_GB2312" w:cs="宋体"/>
          <w:sz w:val="32"/>
          <w:szCs w:val="32"/>
        </w:rPr>
        <w:t>要求</w:t>
      </w:r>
      <w:r>
        <w:rPr>
          <w:rFonts w:hint="default" w:ascii="仿宋_GB2312" w:hAnsi="宋体" w:eastAsia="仿宋_GB2312" w:cs="宋体"/>
          <w:sz w:val="32"/>
          <w:szCs w:val="32"/>
        </w:rPr>
        <w:t>。</w:t>
      </w:r>
    </w:p>
    <w:p>
      <w:pPr>
        <w:numPr>
          <w:ilvl w:val="0"/>
          <w:numId w:val="3"/>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另据相关市场调研，在福建省内外各大综合性公立医院、在消化内镜的高端市场，进口产品还是占据了绝大部分的市场份额。</w:t>
      </w:r>
    </w:p>
    <w:p>
      <w:pPr>
        <w:ind w:firstLine="640"/>
      </w:pPr>
      <w:r>
        <w:rPr>
          <w:rFonts w:hint="eastAsia" w:ascii="仿宋" w:hAnsi="仿宋" w:eastAsia="仿宋" w:cs="仿宋"/>
          <w:sz w:val="32"/>
          <w:szCs w:val="32"/>
        </w:rPr>
        <w:t>以上为我院针对</w:t>
      </w:r>
      <w:r>
        <w:rPr>
          <w:rFonts w:hint="eastAsia" w:ascii="仿宋_GB2312" w:hAnsi="宋体" w:eastAsia="仿宋_GB2312" w:cs="宋体"/>
          <w:sz w:val="32"/>
          <w:szCs w:val="32"/>
        </w:rPr>
        <w:t>福建医科大学附属第二医院</w:t>
      </w:r>
      <w:r>
        <w:rPr>
          <w:rFonts w:hint="eastAsia" w:ascii="仿宋" w:hAnsi="仿宋" w:eastAsia="仿宋" w:cs="仿宋"/>
          <w:sz w:val="32"/>
          <w:szCs w:val="32"/>
        </w:rPr>
        <w:t>消化内镜中心电子内镜系统等设备采购项目进行的设备品牌需求调查。经调研，目前暂时只有进口品牌奥林巴斯能够满足我院消化内镜中心设备使用需求。故此次采购项目申请采购进口设备。</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五、调查结果承诺</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承诺上述需求调查内容真实有效，无虚假情况，本单位对此报告内容的真实性负责。</w:t>
      </w:r>
    </w:p>
    <w:p>
      <w:pPr>
        <w:numPr>
          <w:ilvl w:val="0"/>
          <w:numId w:val="4"/>
        </w:num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附件</w:t>
      </w:r>
    </w:p>
    <w:p>
      <w:pPr>
        <w:rPr>
          <w:rFonts w:hint="eastAsia" w:ascii="仿宋" w:hAnsi="仿宋" w:eastAsia="仿宋_GB2312" w:cs="仿宋"/>
          <w:sz w:val="32"/>
          <w:szCs w:val="32"/>
          <w:lang w:eastAsia="zh-CN"/>
        </w:rPr>
      </w:pPr>
      <w:r>
        <w:rPr>
          <w:rFonts w:hint="eastAsia" w:ascii="仿宋_GB2312" w:hAnsi="宋体" w:eastAsia="仿宋_GB2312" w:cs="宋体"/>
          <w:sz w:val="32"/>
          <w:szCs w:val="32"/>
        </w:rPr>
        <w:t xml:space="preserve">    </w:t>
      </w:r>
      <w:r>
        <w:rPr>
          <w:rFonts w:hint="eastAsia" w:ascii="仿宋" w:hAnsi="仿宋" w:eastAsia="仿宋_GB2312" w:cs="仿宋"/>
          <w:sz w:val="32"/>
          <w:szCs w:val="32"/>
          <w:lang w:eastAsia="zh-CN"/>
        </w:rPr>
        <w:drawing>
          <wp:inline distT="0" distB="0" distL="114300" distR="114300">
            <wp:extent cx="5268595" cy="5695315"/>
            <wp:effectExtent l="0" t="0" r="8255" b="635"/>
            <wp:docPr id="3" name="图片 3" descr="胃肠镜询价论证公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胃肠镜询价论证公告"/>
                    <pic:cNvPicPr>
                      <a:picLocks noChangeAspect="1"/>
                    </pic:cNvPicPr>
                  </pic:nvPicPr>
                  <pic:blipFill>
                    <a:blip r:embed="rId5"/>
                    <a:stretch>
                      <a:fillRect/>
                    </a:stretch>
                  </pic:blipFill>
                  <pic:spPr>
                    <a:xfrm>
                      <a:off x="0" y="0"/>
                      <a:ext cx="5268595" cy="5695315"/>
                    </a:xfrm>
                    <a:prstGeom prst="rect">
                      <a:avLst/>
                    </a:prstGeom>
                  </pic:spPr>
                </pic:pic>
              </a:graphicData>
            </a:graphic>
          </wp:inline>
        </w:drawing>
      </w:r>
    </w:p>
    <w:p>
      <w:pPr>
        <w:pStyle w:val="2"/>
        <w:rPr>
          <w:rFonts w:hint="eastAsia" w:ascii="仿宋" w:hAnsi="仿宋" w:eastAsia="仿宋_GB2312" w:cs="仿宋"/>
          <w:sz w:val="32"/>
          <w:szCs w:val="32"/>
          <w:lang w:eastAsia="zh-CN"/>
        </w:rPr>
      </w:pPr>
      <w:r>
        <w:rPr>
          <w:rFonts w:hint="eastAsia" w:ascii="仿宋" w:hAnsi="仿宋" w:eastAsia="仿宋_GB2312" w:cs="仿宋"/>
          <w:sz w:val="32"/>
          <w:szCs w:val="32"/>
          <w:lang w:eastAsia="zh-CN"/>
        </w:rPr>
        <w:drawing>
          <wp:inline distT="0" distB="0" distL="114300" distR="114300">
            <wp:extent cx="4513580" cy="10657205"/>
            <wp:effectExtent l="0" t="0" r="1270" b="10795"/>
            <wp:docPr id="2" name="图片 2" descr="胃肠镜意向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胃肠镜意向公示"/>
                    <pic:cNvPicPr>
                      <a:picLocks noChangeAspect="1"/>
                    </pic:cNvPicPr>
                  </pic:nvPicPr>
                  <pic:blipFill>
                    <a:blip r:embed="rId6"/>
                    <a:stretch>
                      <a:fillRect/>
                    </a:stretch>
                  </pic:blipFill>
                  <pic:spPr>
                    <a:xfrm>
                      <a:off x="0" y="0"/>
                      <a:ext cx="4513580" cy="10657205"/>
                    </a:xfrm>
                    <a:prstGeom prst="rect">
                      <a:avLst/>
                    </a:prstGeom>
                  </pic:spPr>
                </pic:pic>
              </a:graphicData>
            </a:graphic>
          </wp:inline>
        </w:drawing>
      </w:r>
    </w:p>
    <w:p>
      <w:pPr>
        <w:pStyle w:val="2"/>
        <w:rPr>
          <w:rFonts w:hint="eastAsia" w:ascii="仿宋" w:hAnsi="仿宋" w:eastAsia="仿宋_GB2312" w:cs="仿宋"/>
          <w:sz w:val="32"/>
          <w:szCs w:val="32"/>
          <w:lang w:eastAsia="zh-CN"/>
        </w:rPr>
      </w:pPr>
      <w:r>
        <w:rPr>
          <w:rFonts w:hint="eastAsia" w:ascii="仿宋" w:hAnsi="仿宋" w:eastAsia="仿宋_GB2312" w:cs="仿宋"/>
          <w:sz w:val="32"/>
          <w:szCs w:val="32"/>
          <w:lang w:eastAsia="zh-CN"/>
        </w:rPr>
        <w:drawing>
          <wp:inline distT="0" distB="0" distL="114300" distR="114300">
            <wp:extent cx="5845810" cy="8266430"/>
            <wp:effectExtent l="0" t="0" r="2540" b="1270"/>
            <wp:docPr id="12" name="图片 12" descr="福建省卫生健康委员会关于组织开展“十四五”医疗“创双高”和临床专科能力建设规划中期评估的通知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福建省卫生健康委员会关于组织开展“十四五”医疗“创双高”和临床专科能力建设规划中期评估的通知_页面_1"/>
                    <pic:cNvPicPr>
                      <a:picLocks noChangeAspect="1"/>
                    </pic:cNvPicPr>
                  </pic:nvPicPr>
                  <pic:blipFill>
                    <a:blip r:embed="rId7"/>
                    <a:stretch>
                      <a:fillRect/>
                    </a:stretch>
                  </pic:blipFill>
                  <pic:spPr>
                    <a:xfrm>
                      <a:off x="0" y="0"/>
                      <a:ext cx="5845810" cy="8266430"/>
                    </a:xfrm>
                    <a:prstGeom prst="rect">
                      <a:avLst/>
                    </a:prstGeom>
                  </pic:spPr>
                </pic:pic>
              </a:graphicData>
            </a:graphic>
          </wp:inline>
        </w:drawing>
      </w:r>
    </w:p>
    <w:p>
      <w:pPr>
        <w:pStyle w:val="2"/>
        <w:rPr>
          <w:rFonts w:hint="eastAsia" w:ascii="仿宋" w:hAnsi="仿宋" w:eastAsia="仿宋_GB2312" w:cs="仿宋"/>
          <w:sz w:val="32"/>
          <w:szCs w:val="32"/>
          <w:lang w:eastAsia="zh-CN"/>
        </w:rPr>
      </w:pPr>
    </w:p>
    <w:p>
      <w:pPr>
        <w:pStyle w:val="2"/>
        <w:rPr>
          <w:rFonts w:hint="eastAsia" w:ascii="仿宋" w:hAnsi="仿宋" w:eastAsia="仿宋_GB2312" w:cs="仿宋"/>
          <w:sz w:val="32"/>
          <w:szCs w:val="32"/>
          <w:lang w:eastAsia="zh-CN"/>
        </w:rPr>
      </w:pPr>
      <w:r>
        <w:rPr>
          <w:rFonts w:hint="eastAsia" w:ascii="仿宋" w:hAnsi="仿宋" w:eastAsia="仿宋_GB2312" w:cs="仿宋"/>
          <w:sz w:val="32"/>
          <w:szCs w:val="32"/>
          <w:lang w:eastAsia="zh-CN"/>
        </w:rPr>
        <w:drawing>
          <wp:inline distT="0" distB="0" distL="114300" distR="114300">
            <wp:extent cx="5845810" cy="8266430"/>
            <wp:effectExtent l="0" t="0" r="2540" b="1270"/>
            <wp:docPr id="11" name="图片 11" descr="福建省卫生健康委员会关于组织开展“十四五”医疗“创双高”和临床专科能力建设规划中期评估的通知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福建省卫生健康委员会关于组织开展“十四五”医疗“创双高”和临床专科能力建设规划中期评估的通知_页面_2"/>
                    <pic:cNvPicPr>
                      <a:picLocks noChangeAspect="1"/>
                    </pic:cNvPicPr>
                  </pic:nvPicPr>
                  <pic:blipFill>
                    <a:blip r:embed="rId8"/>
                    <a:stretch>
                      <a:fillRect/>
                    </a:stretch>
                  </pic:blipFill>
                  <pic:spPr>
                    <a:xfrm>
                      <a:off x="0" y="0"/>
                      <a:ext cx="5845810" cy="8266430"/>
                    </a:xfrm>
                    <a:prstGeom prst="rect">
                      <a:avLst/>
                    </a:prstGeom>
                  </pic:spPr>
                </pic:pic>
              </a:graphicData>
            </a:graphic>
          </wp:inline>
        </w:drawing>
      </w:r>
    </w:p>
    <w:p>
      <w:pPr>
        <w:pStyle w:val="2"/>
        <w:rPr>
          <w:rFonts w:hint="eastAsia" w:ascii="仿宋" w:hAnsi="仿宋" w:eastAsia="仿宋_GB2312" w:cs="仿宋"/>
          <w:sz w:val="32"/>
          <w:szCs w:val="32"/>
          <w:lang w:eastAsia="zh-CN"/>
        </w:rPr>
      </w:pPr>
    </w:p>
    <w:p>
      <w:pPr>
        <w:pStyle w:val="2"/>
        <w:rPr>
          <w:rFonts w:hint="eastAsia" w:ascii="仿宋" w:hAnsi="仿宋" w:eastAsia="仿宋_GB2312" w:cs="仿宋"/>
          <w:sz w:val="32"/>
          <w:szCs w:val="32"/>
          <w:lang w:eastAsia="zh-CN"/>
        </w:rPr>
      </w:pPr>
      <w:r>
        <w:rPr>
          <w:rFonts w:hint="eastAsia" w:ascii="仿宋" w:hAnsi="仿宋" w:eastAsia="仿宋_GB2312" w:cs="仿宋"/>
          <w:sz w:val="32"/>
          <w:szCs w:val="32"/>
          <w:lang w:eastAsia="zh-CN"/>
        </w:rPr>
        <w:drawing>
          <wp:inline distT="0" distB="0" distL="114300" distR="114300">
            <wp:extent cx="5845810" cy="8266430"/>
            <wp:effectExtent l="0" t="0" r="2540" b="1270"/>
            <wp:docPr id="10" name="图片 10" descr="福建省卫生健康委员会关于组织开展“十四五”医疗“创双高”和临床专科能力建设规划中期评估的通知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福建省卫生健康委员会关于组织开展“十四五”医疗“创双高”和临床专科能力建设规划中期评估的通知_页面_3"/>
                    <pic:cNvPicPr>
                      <a:picLocks noChangeAspect="1"/>
                    </pic:cNvPicPr>
                  </pic:nvPicPr>
                  <pic:blipFill>
                    <a:blip r:embed="rId9"/>
                    <a:stretch>
                      <a:fillRect/>
                    </a:stretch>
                  </pic:blipFill>
                  <pic:spPr>
                    <a:xfrm>
                      <a:off x="0" y="0"/>
                      <a:ext cx="5845810" cy="8266430"/>
                    </a:xfrm>
                    <a:prstGeom prst="rect">
                      <a:avLst/>
                    </a:prstGeom>
                  </pic:spPr>
                </pic:pic>
              </a:graphicData>
            </a:graphic>
          </wp:inline>
        </w:drawing>
      </w:r>
    </w:p>
    <w:p>
      <w:pPr>
        <w:pStyle w:val="2"/>
        <w:rPr>
          <w:rFonts w:hint="eastAsia" w:ascii="仿宋" w:hAnsi="仿宋" w:eastAsia="仿宋_GB2312" w:cs="仿宋"/>
          <w:sz w:val="32"/>
          <w:szCs w:val="32"/>
          <w:lang w:eastAsia="zh-CN"/>
        </w:rPr>
      </w:pPr>
    </w:p>
    <w:p>
      <w:pPr>
        <w:pStyle w:val="2"/>
        <w:rPr>
          <w:rFonts w:hint="eastAsia" w:ascii="仿宋" w:hAnsi="仿宋" w:eastAsia="仿宋_GB2312" w:cs="仿宋"/>
          <w:sz w:val="32"/>
          <w:szCs w:val="32"/>
          <w:lang w:eastAsia="zh-CN"/>
        </w:rPr>
      </w:pPr>
      <w:r>
        <w:rPr>
          <w:rFonts w:hint="eastAsia" w:ascii="仿宋" w:hAnsi="仿宋" w:eastAsia="仿宋_GB2312" w:cs="仿宋"/>
          <w:sz w:val="32"/>
          <w:szCs w:val="32"/>
          <w:lang w:eastAsia="zh-CN"/>
        </w:rPr>
        <w:drawing>
          <wp:inline distT="0" distB="0" distL="114300" distR="114300">
            <wp:extent cx="5845810" cy="8266430"/>
            <wp:effectExtent l="0" t="0" r="2540" b="1270"/>
            <wp:docPr id="9" name="图片 9" descr="附件1_建设项目及承建单位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附件1_建设项目及承建单位_页面_1"/>
                    <pic:cNvPicPr>
                      <a:picLocks noChangeAspect="1"/>
                    </pic:cNvPicPr>
                  </pic:nvPicPr>
                  <pic:blipFill>
                    <a:blip r:embed="rId10"/>
                    <a:stretch>
                      <a:fillRect/>
                    </a:stretch>
                  </pic:blipFill>
                  <pic:spPr>
                    <a:xfrm>
                      <a:off x="0" y="0"/>
                      <a:ext cx="5845810" cy="8266430"/>
                    </a:xfrm>
                    <a:prstGeom prst="rect">
                      <a:avLst/>
                    </a:prstGeom>
                  </pic:spPr>
                </pic:pic>
              </a:graphicData>
            </a:graphic>
          </wp:inline>
        </w:drawing>
      </w:r>
      <w:r>
        <w:rPr>
          <w:rFonts w:hint="eastAsia" w:ascii="仿宋" w:hAnsi="仿宋" w:eastAsia="仿宋_GB2312" w:cs="仿宋"/>
          <w:sz w:val="32"/>
          <w:szCs w:val="32"/>
          <w:lang w:eastAsia="zh-CN"/>
        </w:rPr>
        <w:drawing>
          <wp:inline distT="0" distB="0" distL="114300" distR="114300">
            <wp:extent cx="5845810" cy="8266430"/>
            <wp:effectExtent l="0" t="0" r="2540" b="1270"/>
            <wp:docPr id="8" name="图片 8" descr="附件1_建设项目及承建单位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件1_建设项目及承建单位_页面_2"/>
                    <pic:cNvPicPr>
                      <a:picLocks noChangeAspect="1"/>
                    </pic:cNvPicPr>
                  </pic:nvPicPr>
                  <pic:blipFill>
                    <a:blip r:embed="rId11"/>
                    <a:stretch>
                      <a:fillRect/>
                    </a:stretch>
                  </pic:blipFill>
                  <pic:spPr>
                    <a:xfrm>
                      <a:off x="0" y="0"/>
                      <a:ext cx="5845810" cy="8266430"/>
                    </a:xfrm>
                    <a:prstGeom prst="rect">
                      <a:avLst/>
                    </a:prstGeom>
                  </pic:spPr>
                </pic:pic>
              </a:graphicData>
            </a:graphic>
          </wp:inline>
        </w:drawing>
      </w:r>
      <w:r>
        <w:rPr>
          <w:rFonts w:hint="eastAsia" w:ascii="仿宋" w:hAnsi="仿宋" w:eastAsia="仿宋_GB2312" w:cs="仿宋"/>
          <w:sz w:val="32"/>
          <w:szCs w:val="32"/>
          <w:lang w:eastAsia="zh-CN"/>
        </w:rPr>
        <w:drawing>
          <wp:inline distT="0" distB="0" distL="114300" distR="114300">
            <wp:extent cx="5845810" cy="8266430"/>
            <wp:effectExtent l="0" t="0" r="2540" b="1270"/>
            <wp:docPr id="7" name="图片 7" descr="附件1_建设项目及承建单位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附件1_建设项目及承建单位_页面_3"/>
                    <pic:cNvPicPr>
                      <a:picLocks noChangeAspect="1"/>
                    </pic:cNvPicPr>
                  </pic:nvPicPr>
                  <pic:blipFill>
                    <a:blip r:embed="rId12"/>
                    <a:stretch>
                      <a:fillRect/>
                    </a:stretch>
                  </pic:blipFill>
                  <pic:spPr>
                    <a:xfrm>
                      <a:off x="0" y="0"/>
                      <a:ext cx="5845810" cy="8266430"/>
                    </a:xfrm>
                    <a:prstGeom prst="rect">
                      <a:avLst/>
                    </a:prstGeom>
                  </pic:spPr>
                </pic:pic>
              </a:graphicData>
            </a:graphic>
          </wp:inline>
        </w:drawing>
      </w:r>
      <w:r>
        <w:rPr>
          <w:rFonts w:hint="eastAsia" w:ascii="仿宋" w:hAnsi="仿宋" w:eastAsia="仿宋_GB2312" w:cs="仿宋"/>
          <w:sz w:val="32"/>
          <w:szCs w:val="32"/>
          <w:lang w:eastAsia="zh-CN"/>
        </w:rPr>
        <w:drawing>
          <wp:inline distT="0" distB="0" distL="114300" distR="114300">
            <wp:extent cx="5845810" cy="8266430"/>
            <wp:effectExtent l="0" t="0" r="2540" b="1270"/>
            <wp:docPr id="6" name="图片 6" descr="附件1_建设项目及承建单位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附件1_建设项目及承建单位_页面_4"/>
                    <pic:cNvPicPr>
                      <a:picLocks noChangeAspect="1"/>
                    </pic:cNvPicPr>
                  </pic:nvPicPr>
                  <pic:blipFill>
                    <a:blip r:embed="rId13"/>
                    <a:stretch>
                      <a:fillRect/>
                    </a:stretch>
                  </pic:blipFill>
                  <pic:spPr>
                    <a:xfrm>
                      <a:off x="0" y="0"/>
                      <a:ext cx="5845810" cy="8266430"/>
                    </a:xfrm>
                    <a:prstGeom prst="rect">
                      <a:avLst/>
                    </a:prstGeom>
                  </pic:spPr>
                </pic:pic>
              </a:graphicData>
            </a:graphic>
          </wp:inline>
        </w:drawing>
      </w:r>
      <w:r>
        <w:rPr>
          <w:rFonts w:hint="eastAsia" w:ascii="仿宋" w:hAnsi="仿宋" w:eastAsia="仿宋_GB2312" w:cs="仿宋"/>
          <w:sz w:val="32"/>
          <w:szCs w:val="32"/>
          <w:lang w:eastAsia="zh-CN"/>
        </w:rPr>
        <w:drawing>
          <wp:inline distT="0" distB="0" distL="114300" distR="114300">
            <wp:extent cx="5845810" cy="8266430"/>
            <wp:effectExtent l="0" t="0" r="2540" b="1270"/>
            <wp:docPr id="5" name="图片 5" descr="附件1_建设项目及承建单位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件1_建设项目及承建单位_页面_5"/>
                    <pic:cNvPicPr>
                      <a:picLocks noChangeAspect="1"/>
                    </pic:cNvPicPr>
                  </pic:nvPicPr>
                  <pic:blipFill>
                    <a:blip r:embed="rId14"/>
                    <a:stretch>
                      <a:fillRect/>
                    </a:stretch>
                  </pic:blipFill>
                  <pic:spPr>
                    <a:xfrm>
                      <a:off x="0" y="0"/>
                      <a:ext cx="5845810" cy="8266430"/>
                    </a:xfrm>
                    <a:prstGeom prst="rect">
                      <a:avLst/>
                    </a:prstGeom>
                  </pic:spPr>
                </pic:pic>
              </a:graphicData>
            </a:graphic>
          </wp:inline>
        </w:drawing>
      </w:r>
      <w:r>
        <w:rPr>
          <w:rFonts w:hint="eastAsia" w:ascii="仿宋" w:hAnsi="仿宋" w:eastAsia="仿宋_GB2312" w:cs="仿宋"/>
          <w:sz w:val="32"/>
          <w:szCs w:val="32"/>
          <w:lang w:eastAsia="zh-CN"/>
        </w:rPr>
        <w:drawing>
          <wp:inline distT="0" distB="0" distL="114300" distR="114300">
            <wp:extent cx="5845810" cy="8266430"/>
            <wp:effectExtent l="0" t="0" r="2540" b="1270"/>
            <wp:docPr id="4" name="图片 4" descr="附件1_建设项目及承建单位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1_建设项目及承建单位_页面_6"/>
                    <pic:cNvPicPr>
                      <a:picLocks noChangeAspect="1"/>
                    </pic:cNvPicPr>
                  </pic:nvPicPr>
                  <pic:blipFill>
                    <a:blip r:embed="rId15"/>
                    <a:stretch>
                      <a:fillRect/>
                    </a:stretch>
                  </pic:blipFill>
                  <pic:spPr>
                    <a:xfrm>
                      <a:off x="0" y="0"/>
                      <a:ext cx="5845810" cy="8266430"/>
                    </a:xfrm>
                    <a:prstGeom prst="rect">
                      <a:avLst/>
                    </a:prstGeom>
                  </pic:spPr>
                </pic:pic>
              </a:graphicData>
            </a:graphic>
          </wp:inline>
        </w:drawing>
      </w:r>
    </w:p>
    <w:sectPr>
      <w:footerReference r:id="rId3" w:type="default"/>
      <w:pgSz w:w="11906" w:h="16838"/>
      <w:pgMar w:top="1440" w:right="1349" w:bottom="1440" w:left="134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rPr>
        <w:rFonts w:hint="eastAsia"/>
      </w:rPr>
    </w:lvl>
  </w:abstractNum>
  <w:abstractNum w:abstractNumId="1">
    <w:nsid w:val="00000001"/>
    <w:multiLevelType w:val="singleLevel"/>
    <w:tmpl w:val="00000001"/>
    <w:lvl w:ilvl="0" w:tentative="0">
      <w:start w:val="4"/>
      <w:numFmt w:val="decimal"/>
      <w:lvlText w:val="%1."/>
      <w:lvlJc w:val="left"/>
      <w:pPr>
        <w:tabs>
          <w:tab w:val="left" w:pos="312"/>
        </w:tabs>
      </w:pPr>
    </w:lvl>
  </w:abstractNum>
  <w:abstractNum w:abstractNumId="2">
    <w:nsid w:val="00000002"/>
    <w:multiLevelType w:val="singleLevel"/>
    <w:tmpl w:val="00000002"/>
    <w:lvl w:ilvl="0" w:tentative="0">
      <w:start w:val="6"/>
      <w:numFmt w:val="chineseCounting"/>
      <w:suff w:val="nothing"/>
      <w:lvlText w:val="%1、"/>
      <w:lvlJc w:val="left"/>
      <w:rPr>
        <w:rFonts w:hint="eastAsia"/>
      </w:rPr>
    </w:lvl>
  </w:abstractNum>
  <w:abstractNum w:abstractNumId="3">
    <w:nsid w:val="00000003"/>
    <w:multiLevelType w:val="singleLevel"/>
    <w:tmpl w:val="00000003"/>
    <w:lvl w:ilvl="0" w:tentative="0">
      <w:start w:val="2"/>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1NTViZTkzNzc4ODNlOWQyNzMyYTE2N2FhNTZiOGEifQ=="/>
  </w:docVars>
  <w:rsids>
    <w:rsidRoot w:val="00000000"/>
    <w:rsid w:val="09307CC1"/>
    <w:rsid w:val="14DC3446"/>
    <w:rsid w:val="50385C1F"/>
    <w:rsid w:val="53311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character" w:styleId="8">
    <w:name w:val="FollowedHyperlink"/>
    <w:basedOn w:val="6"/>
    <w:qFormat/>
    <w:uiPriority w:val="0"/>
    <w:rPr>
      <w:color w:val="800080"/>
      <w:u w:val="single"/>
    </w:rPr>
  </w:style>
  <w:style w:type="character" w:styleId="9">
    <w:name w:val="Hyperlink"/>
    <w:basedOn w:val="6"/>
    <w:qFormat/>
    <w:uiPriority w:val="0"/>
    <w:rPr>
      <w:color w:val="0000FF"/>
      <w:u w:val="single"/>
    </w:rPr>
  </w:style>
  <w:style w:type="character" w:customStyle="1" w:styleId="10">
    <w:name w:val="页眉 字符"/>
    <w:basedOn w:val="6"/>
    <w:link w:val="4"/>
    <w:qFormat/>
    <w:uiPriority w:val="0"/>
    <w:rPr>
      <w:kern w:val="2"/>
      <w:sz w:val="18"/>
      <w:szCs w:val="18"/>
    </w:rPr>
  </w:style>
  <w:style w:type="character" w:customStyle="1" w:styleId="11">
    <w:name w:val="页脚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16</Pages>
  <Words>2561</Words>
  <Characters>2730</Characters>
  <Paragraphs>102</Paragraphs>
  <TotalTime>4</TotalTime>
  <ScaleCrop>false</ScaleCrop>
  <LinksUpToDate>false</LinksUpToDate>
  <CharactersWithSpaces>2773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2022-03-09T23:47:00Z</dcterms:created>
  <dc:creator>张玮</dc:creator>
  <cp:lastModifiedBy>Administrator</cp:lastModifiedBy>
  <cp:lastPrinted>2022-04-24T15:15:00Z</cp:lastPrinted>
  <dcterms:modified xsi:type="dcterms:W3CDTF">2023-09-11T02:56:32Z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4DFF813616CF4B7EB1ADB380098EEC06_13</vt:lpwstr>
  </property>
</Properties>
</file>