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0"/>
          <w:szCs w:val="48"/>
        </w:rPr>
      </w:pPr>
      <w:r>
        <w:rPr>
          <w:rFonts w:hint="eastAsia"/>
          <w:b/>
          <w:bCs/>
          <w:sz w:val="40"/>
          <w:szCs w:val="48"/>
        </w:rPr>
        <w:t>高清胃肠镜系统需求调研报告</w:t>
      </w:r>
    </w:p>
    <w:p>
      <w:pPr>
        <w:ind w:firstLine="640" w:firstLineChars="200"/>
        <w:rPr>
          <w:rFonts w:ascii="仿宋_GB2312" w:hAnsi="宋体" w:eastAsia="仿宋_GB2312" w:cs="宋体"/>
          <w:sz w:val="32"/>
          <w:szCs w:val="32"/>
        </w:rPr>
      </w:pPr>
    </w:p>
    <w:p>
      <w:pPr>
        <w:rPr>
          <w:rFonts w:ascii="仿宋_GB2312" w:hAnsi="宋体" w:eastAsia="仿宋_GB2312" w:cs="宋体"/>
          <w:sz w:val="32"/>
          <w:szCs w:val="32"/>
        </w:rPr>
      </w:pPr>
      <w:r>
        <w:rPr>
          <w:rFonts w:hint="eastAsia" w:ascii="仿宋_GB2312" w:hAnsi="宋体" w:eastAsia="仿宋_GB2312" w:cs="宋体"/>
          <w:sz w:val="32"/>
          <w:szCs w:val="32"/>
        </w:rPr>
        <w:t>一、采购项目基本情况</w:t>
      </w:r>
    </w:p>
    <w:p>
      <w:pPr>
        <w:ind w:firstLine="640" w:firstLineChars="200"/>
        <w:rPr>
          <w:rFonts w:ascii="仿宋" w:hAnsi="仿宋" w:eastAsia="仿宋" w:cs="仿宋"/>
          <w:sz w:val="32"/>
          <w:szCs w:val="32"/>
        </w:rPr>
      </w:pPr>
      <w:r>
        <w:rPr>
          <w:rFonts w:hint="eastAsia" w:ascii="仿宋" w:hAnsi="仿宋" w:eastAsia="仿宋" w:cs="仿宋"/>
          <w:sz w:val="32"/>
          <w:szCs w:val="32"/>
        </w:rPr>
        <w:t>我院消化内镜中心在科室规模、就诊环境、诊疗水平、学科建设等方面都处于福建省内领先地位；日常内镜检查量和手术量也在省内名列前茅，每年完成消化内镜诊疗达4万多例。其中，消化内镜下的复杂手术如ESD、ERCP等手术量逐年递增，手术技术水平稳步提升。此次“</w:t>
      </w:r>
      <w:r>
        <w:rPr>
          <w:rFonts w:hint="eastAsia" w:ascii="仿宋_GB2312" w:hAnsi="宋体" w:eastAsia="仿宋_GB2312" w:cs="宋体"/>
          <w:sz w:val="32"/>
          <w:szCs w:val="32"/>
        </w:rPr>
        <w:t>高清胃肠镜系统</w:t>
      </w:r>
      <w:r>
        <w:rPr>
          <w:rFonts w:hint="eastAsia" w:ascii="仿宋" w:hAnsi="仿宋" w:eastAsia="仿宋" w:cs="仿宋"/>
          <w:sz w:val="32"/>
          <w:szCs w:val="32"/>
        </w:rPr>
        <w:t>设备采购项目”所申请的全部设备都用于我院消化内镜中心的胃肠镜检查、诊疗需要。</w:t>
      </w:r>
    </w:p>
    <w:p>
      <w:pPr>
        <w:ind w:firstLine="640" w:firstLineChars="200"/>
        <w:rPr>
          <w:rFonts w:ascii="仿宋" w:hAnsi="仿宋" w:eastAsia="仿宋_GB2312" w:cs="仿宋"/>
          <w:sz w:val="32"/>
          <w:szCs w:val="32"/>
        </w:rPr>
      </w:pPr>
      <w:r>
        <w:rPr>
          <w:rFonts w:hint="eastAsia" w:ascii="仿宋" w:hAnsi="仿宋" w:eastAsia="仿宋" w:cs="仿宋"/>
          <w:sz w:val="32"/>
          <w:szCs w:val="32"/>
        </w:rPr>
        <w:t>我省属于胃癌、结直肠癌发病率高发地区，近些年来老百姓对于胃肠镜检查的需求日益增加，慕名来我院预约胃肠镜检查和治疗的患者也逐年增加，现如今正常麻醉胃肠镜检查的预约周期为一个月半左右。患者量的逐年递增也造成了科室在现有条件下，设备周转不及时，制约了日常内镜检查诊疗量的增长。预约内镜检查诊疗时间过长，影响了患者对医院的满意度；同时，有些患者因预约检查时间过长，错过了发现病情的最佳时机，耽误了后续治疗，给生命健康造成了影响。特别是</w:t>
      </w:r>
      <w:r>
        <w:rPr>
          <w:rFonts w:hint="eastAsia" w:ascii="仿宋_GB2312" w:hAnsi="宋体" w:eastAsia="仿宋_GB2312" w:cs="宋体"/>
          <w:sz w:val="32"/>
          <w:szCs w:val="32"/>
        </w:rPr>
        <w:t>消化道早癌的发现，可以大大提升患者5年存活率，同时可以极大减轻患者和国家医保的负担。据调查研究，消化道早癌在内镜下平均治疗费用不超过3万；若早癌未能及时发现，发展成消化道癌中晚期，外科手术费用加上术后放化疗及靶向药物治疗等费用，治疗总费用预计要达到30万元。</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为缩短患者消化内镜检查治疗的预约周期，并且保障胃肠镜检查顺利、安全进行，提高消化道早癌的检出率，消化内镜中心申请</w:t>
      </w:r>
      <w:bookmarkStart w:id="3" w:name="_GoBack"/>
      <w:bookmarkEnd w:id="3"/>
      <w:r>
        <w:rPr>
          <w:rFonts w:hint="eastAsia" w:ascii="仿宋" w:hAnsi="仿宋" w:eastAsia="仿宋" w:cs="仿宋"/>
          <w:sz w:val="32"/>
          <w:szCs w:val="32"/>
        </w:rPr>
        <w:t>购买新的电子内镜系统1套、电子胃镜</w:t>
      </w:r>
      <w:r>
        <w:rPr>
          <w:rFonts w:hint="eastAsia" w:ascii="仿宋" w:hAnsi="仿宋" w:eastAsia="仿宋" w:cs="仿宋"/>
          <w:sz w:val="32"/>
          <w:szCs w:val="32"/>
          <w:lang w:val="en-US" w:eastAsia="zh-CN"/>
        </w:rPr>
        <w:t>4</w:t>
      </w:r>
      <w:r>
        <w:rPr>
          <w:rFonts w:hint="eastAsia" w:ascii="仿宋" w:hAnsi="仿宋" w:eastAsia="仿宋" w:cs="仿宋"/>
          <w:sz w:val="32"/>
          <w:szCs w:val="32"/>
        </w:rPr>
        <w:t>根、电子肠镜</w:t>
      </w:r>
      <w:r>
        <w:rPr>
          <w:rFonts w:hint="eastAsia" w:ascii="仿宋" w:hAnsi="仿宋" w:eastAsia="仿宋" w:cs="仿宋"/>
          <w:sz w:val="32"/>
          <w:szCs w:val="32"/>
          <w:lang w:val="en-US" w:eastAsia="zh-CN"/>
        </w:rPr>
        <w:t>2</w:t>
      </w:r>
      <w:r>
        <w:rPr>
          <w:rFonts w:hint="eastAsia" w:ascii="仿宋" w:hAnsi="仿宋" w:eastAsia="仿宋" w:cs="仿宋"/>
          <w:sz w:val="32"/>
          <w:szCs w:val="32"/>
        </w:rPr>
        <w:t>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本次拟购设备为电子胃肠镜系统，已于202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val="en-US" w:eastAsia="zh-CN"/>
        </w:rPr>
        <w:t>4</w:t>
      </w:r>
      <w:r>
        <w:rPr>
          <w:rFonts w:hint="eastAsia" w:ascii="仿宋" w:hAnsi="仿宋" w:eastAsia="仿宋" w:cs="仿宋"/>
          <w:sz w:val="32"/>
          <w:szCs w:val="32"/>
        </w:rPr>
        <w:t>月经医院院长办公会议研究并提交院党委会讨论审定通过，项目资金属于202</w:t>
      </w:r>
      <w:r>
        <w:rPr>
          <w:rFonts w:hint="eastAsia" w:ascii="仿宋" w:hAnsi="仿宋" w:eastAsia="仿宋" w:cs="仿宋"/>
          <w:sz w:val="32"/>
          <w:szCs w:val="32"/>
          <w:lang w:val="en-US" w:eastAsia="zh-CN"/>
        </w:rPr>
        <w:t>3</w:t>
      </w:r>
      <w:r>
        <w:rPr>
          <w:rFonts w:hint="eastAsia" w:ascii="仿宋" w:hAnsi="仿宋" w:eastAsia="仿宋" w:cs="仿宋"/>
          <w:sz w:val="32"/>
          <w:szCs w:val="32"/>
        </w:rPr>
        <w:t xml:space="preserve">年度预算资金，预算金额为 </w:t>
      </w:r>
      <w:r>
        <w:rPr>
          <w:rFonts w:hint="eastAsia" w:ascii="仿宋" w:hAnsi="仿宋" w:eastAsia="仿宋" w:cs="仿宋"/>
          <w:sz w:val="32"/>
          <w:szCs w:val="32"/>
          <w:lang w:val="en-US" w:eastAsia="zh-CN"/>
        </w:rPr>
        <w:t>306</w:t>
      </w:r>
      <w:r>
        <w:rPr>
          <w:rFonts w:hint="eastAsia" w:ascii="仿宋" w:hAnsi="仿宋" w:eastAsia="仿宋" w:cs="仿宋"/>
          <w:sz w:val="32"/>
          <w:szCs w:val="32"/>
        </w:rPr>
        <w:t xml:space="preserve"> 万元。</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二、采购需求调查</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1.</w:t>
      </w:r>
      <w:bookmarkStart w:id="0" w:name="_Hlk97756702"/>
      <w:r>
        <w:rPr>
          <w:rFonts w:hint="eastAsia" w:ascii="仿宋_GB2312" w:hAnsi="宋体" w:eastAsia="仿宋_GB2312" w:cs="宋体"/>
          <w:sz w:val="32"/>
          <w:szCs w:val="32"/>
        </w:rPr>
        <w:t>经与使用科室充分沟通，确认本次拟采购设备需具备如下标准</w:t>
      </w:r>
      <w:bookmarkEnd w:id="0"/>
      <w:r>
        <w:rPr>
          <w:rFonts w:hint="eastAsia" w:ascii="仿宋_GB2312" w:hAnsi="宋体" w:eastAsia="仿宋_GB2312" w:cs="宋体"/>
          <w:sz w:val="32"/>
          <w:szCs w:val="32"/>
        </w:rPr>
        <w:t>：</w:t>
      </w:r>
      <w:r>
        <w:rPr>
          <w:rFonts w:hint="eastAsia" w:ascii="仿宋" w:hAnsi="仿宋" w:eastAsia="仿宋" w:cs="宋体"/>
          <w:sz w:val="32"/>
          <w:szCs w:val="32"/>
        </w:rPr>
        <w:t>①</w:t>
      </w:r>
      <w:r>
        <w:rPr>
          <w:rFonts w:hint="eastAsia" w:ascii="仿宋_GB2312" w:hAnsi="宋体" w:eastAsia="仿宋_GB2312" w:cs="宋体"/>
          <w:sz w:val="32"/>
          <w:szCs w:val="32"/>
        </w:rPr>
        <w:t>电子内镜系统需具备窄带光成像技术，而且该技术需要有大量国内外科研文献支持。窄带光成像技术</w:t>
      </w:r>
      <w:r>
        <w:rPr>
          <w:rFonts w:hint="eastAsia" w:ascii="仿宋" w:hAnsi="仿宋" w:eastAsia="仿宋" w:cs="仿宋"/>
          <w:sz w:val="32"/>
          <w:szCs w:val="32"/>
        </w:rPr>
        <w:t>能有效地提高临床检查中早癌筛查的准确率，替代内镜药物染色技术，降低科室成本，缩短检查时间，提高科室医生的内镜检查效率，同时避免部分患者对染色药物过敏的问题。以上技术需有在</w:t>
      </w:r>
      <w:r>
        <w:rPr>
          <w:rFonts w:hint="eastAsia" w:ascii="仿宋_GB2312" w:hAnsi="宋体" w:eastAsia="仿宋_GB2312" w:cs="宋体"/>
          <w:sz w:val="32"/>
          <w:szCs w:val="32"/>
        </w:rPr>
        <w:t>国内外高质量期刊上发表的科研论文支持。参考文献如有：</w:t>
      </w:r>
      <w:r>
        <w:rPr>
          <w:rFonts w:hint="eastAsia"/>
          <w:sz w:val="32"/>
          <w:szCs w:val="32"/>
        </w:rPr>
        <w:t>《</w:t>
      </w:r>
      <w:r>
        <w:rPr>
          <w:rFonts w:hint="eastAsia" w:ascii="仿宋_GB2312" w:hAnsi="宋体" w:eastAsia="仿宋_GB2312" w:cs="宋体"/>
          <w:sz w:val="32"/>
          <w:szCs w:val="32"/>
        </w:rPr>
        <w:t>采用窄带成像对胃癌早期病灶和癌症病灶的内镜检查分类多中心确认</w:t>
      </w:r>
      <w:r>
        <w:rPr>
          <w:rFonts w:hint="eastAsia"/>
          <w:sz w:val="32"/>
          <w:szCs w:val="32"/>
        </w:rPr>
        <w:t>》，</w:t>
      </w:r>
      <w:r>
        <w:rPr>
          <w:rFonts w:hint="eastAsia" w:ascii="仿宋_GB2312" w:hAnsi="宋体" w:eastAsia="仿宋_GB2312" w:cs="宋体"/>
          <w:sz w:val="32"/>
          <w:szCs w:val="32"/>
        </w:rPr>
        <w:t>作者：P. Pimentel-Nunes，M. Dinis-Ribeiro，J. B. Soares， R。Marcos-Pinto，C. Santos，C. Rolanda，R.P.Bastos，M. Areia，L. Afonso，J.Bergman，P. Sharma，T. Gotoda，R.Henrique，L. Moreira-Dias；作者：内镜检查2012年；44：236-246页。</w:t>
      </w:r>
      <w:r>
        <w:rPr>
          <w:rFonts w:hint="eastAsia" w:ascii="仿宋" w:hAnsi="仿宋" w:eastAsia="仿宋" w:cs="宋体"/>
          <w:sz w:val="32"/>
          <w:szCs w:val="32"/>
        </w:rPr>
        <w:t>②</w:t>
      </w:r>
      <w:r>
        <w:rPr>
          <w:rFonts w:hint="eastAsia" w:ascii="仿宋_GB2312" w:hAnsi="宋体" w:eastAsia="仿宋_GB2312" w:cs="宋体"/>
          <w:sz w:val="32"/>
          <w:szCs w:val="32"/>
        </w:rPr>
        <w:t>电子肠镜需具备至少1</w:t>
      </w:r>
      <w:r>
        <w:rPr>
          <w:rFonts w:ascii="仿宋_GB2312" w:hAnsi="宋体" w:eastAsia="仿宋_GB2312" w:cs="宋体"/>
          <w:sz w:val="32"/>
          <w:szCs w:val="32"/>
        </w:rPr>
        <w:t>70</w:t>
      </w:r>
      <w:r>
        <w:rPr>
          <w:rFonts w:hint="eastAsia" w:ascii="仿宋_GB2312" w:hAnsi="宋体" w:eastAsia="仿宋_GB2312" w:cs="宋体"/>
          <w:sz w:val="32"/>
          <w:szCs w:val="32"/>
        </w:rPr>
        <w:t>度视野角。视野角越接近1</w:t>
      </w:r>
      <w:r>
        <w:rPr>
          <w:rFonts w:ascii="仿宋_GB2312" w:hAnsi="宋体" w:eastAsia="仿宋_GB2312" w:cs="宋体"/>
          <w:sz w:val="32"/>
          <w:szCs w:val="32"/>
        </w:rPr>
        <w:t>80</w:t>
      </w:r>
      <w:r>
        <w:rPr>
          <w:rFonts w:hint="eastAsia" w:ascii="仿宋_GB2312" w:hAnsi="宋体" w:eastAsia="仿宋_GB2312" w:cs="宋体"/>
          <w:sz w:val="32"/>
          <w:szCs w:val="32"/>
        </w:rPr>
        <w:t>度盲区越小，1</w:t>
      </w:r>
      <w:r>
        <w:rPr>
          <w:rFonts w:ascii="仿宋_GB2312" w:hAnsi="宋体" w:eastAsia="仿宋_GB2312" w:cs="宋体"/>
          <w:sz w:val="32"/>
          <w:szCs w:val="32"/>
        </w:rPr>
        <w:t>70</w:t>
      </w:r>
      <w:r>
        <w:rPr>
          <w:rFonts w:hint="eastAsia" w:ascii="仿宋_GB2312" w:hAnsi="宋体" w:eastAsia="仿宋_GB2312" w:cs="宋体"/>
          <w:sz w:val="32"/>
          <w:szCs w:val="32"/>
        </w:rPr>
        <w:t>度视野角近乎无盲区，可有效避免漏诊。</w:t>
      </w:r>
      <w:r>
        <w:rPr>
          <w:rFonts w:hint="eastAsia" w:ascii="仿宋" w:hAnsi="仿宋" w:eastAsia="仿宋" w:cs="宋体"/>
          <w:sz w:val="32"/>
          <w:szCs w:val="32"/>
        </w:rPr>
        <w:t>③</w:t>
      </w:r>
      <w:r>
        <w:rPr>
          <w:rFonts w:hint="eastAsia"/>
        </w:rPr>
        <w:t xml:space="preserve"> </w:t>
      </w:r>
      <w:r>
        <w:rPr>
          <w:rFonts w:hint="eastAsia" w:ascii="仿宋_GB2312" w:hAnsi="宋体" w:eastAsia="仿宋_GB2312" w:cs="宋体"/>
          <w:sz w:val="32"/>
          <w:szCs w:val="32"/>
        </w:rPr>
        <w:t>电子肠镜需具有RIT功能，RIT功能包含：强力传导（HFT）、智能弯曲（PB）和可变硬度，该功能可以大大降低进镜难度，尤其针对困难插入患者和术后肠道结构改变患者。该技术可以帮助医生极大地提高肠镜检查成功率。</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2.拟采购设备国内从9</w:t>
      </w:r>
      <w:r>
        <w:rPr>
          <w:rFonts w:ascii="仿宋_GB2312" w:hAnsi="宋体" w:eastAsia="仿宋_GB2312" w:cs="宋体"/>
          <w:sz w:val="32"/>
          <w:szCs w:val="32"/>
        </w:rPr>
        <w:t>0</w:t>
      </w:r>
      <w:r>
        <w:rPr>
          <w:rFonts w:hint="eastAsia" w:ascii="仿宋_GB2312" w:hAnsi="宋体" w:eastAsia="仿宋_GB2312" w:cs="宋体"/>
          <w:sz w:val="32"/>
          <w:szCs w:val="32"/>
        </w:rPr>
        <w:t>年代开始生产，目前较为受认可为深圳开立和上海澳华；市场供给充足；历史成交较少，目前国内份额1</w:t>
      </w:r>
      <w:r>
        <w:rPr>
          <w:rFonts w:ascii="仿宋_GB2312" w:hAnsi="宋体" w:eastAsia="仿宋_GB2312" w:cs="宋体"/>
          <w:sz w:val="32"/>
          <w:szCs w:val="32"/>
        </w:rPr>
        <w:t>0%</w:t>
      </w:r>
      <w:r>
        <w:rPr>
          <w:rFonts w:hint="eastAsia" w:ascii="仿宋_GB2312" w:hAnsi="宋体" w:eastAsia="仿宋_GB2312" w:cs="宋体"/>
          <w:sz w:val="32"/>
          <w:szCs w:val="32"/>
        </w:rPr>
        <w:t>左右，福建成交基本在二级及以下单位，三级医院成交较少，升级更新较快，但是造成产品质量稳定性较差；备品备件充足；无耗材。</w:t>
      </w:r>
    </w:p>
    <w:p>
      <w:pPr>
        <w:ind w:firstLine="640" w:firstLineChars="200"/>
        <w:rPr>
          <w:rFonts w:hint="eastAsia" w:ascii="仿宋_GB2312" w:hAnsi="宋体" w:eastAsia="仿宋_GB2312" w:cs="宋体"/>
          <w:sz w:val="32"/>
          <w:szCs w:val="32"/>
        </w:rPr>
      </w:pPr>
      <w:r>
        <w:rPr>
          <w:rFonts w:ascii="仿宋_GB2312" w:hAnsi="宋体" w:eastAsia="仿宋_GB2312" w:cs="宋体"/>
          <w:sz w:val="32"/>
          <w:szCs w:val="32"/>
        </w:rPr>
        <w:t>3</w:t>
      </w:r>
      <w:r>
        <w:rPr>
          <w:rFonts w:hint="eastAsia" w:ascii="仿宋_GB2312" w:hAnsi="宋体" w:eastAsia="仿宋_GB2312" w:cs="宋体"/>
          <w:sz w:val="32"/>
          <w:szCs w:val="32"/>
        </w:rPr>
        <w:t>.拟采购国产产品价格</w:t>
      </w:r>
      <w:r>
        <w:rPr>
          <w:rFonts w:ascii="仿宋_GB2312" w:hAnsi="宋体" w:eastAsia="仿宋_GB2312" w:cs="宋体"/>
          <w:sz w:val="32"/>
          <w:szCs w:val="32"/>
        </w:rPr>
        <w:t>240</w:t>
      </w:r>
      <w:r>
        <w:rPr>
          <w:rFonts w:hint="eastAsia" w:ascii="仿宋_GB2312" w:hAnsi="宋体" w:eastAsia="仿宋_GB2312" w:cs="宋体"/>
          <w:sz w:val="32"/>
          <w:szCs w:val="32"/>
        </w:rPr>
        <w:t>万左右，进口产品价格</w:t>
      </w:r>
      <w:r>
        <w:rPr>
          <w:rFonts w:ascii="仿宋_GB2312" w:hAnsi="宋体" w:eastAsia="仿宋_GB2312" w:cs="宋体"/>
          <w:sz w:val="32"/>
          <w:szCs w:val="32"/>
        </w:rPr>
        <w:t>310</w:t>
      </w:r>
      <w:r>
        <w:rPr>
          <w:rFonts w:hint="eastAsia" w:ascii="仿宋_GB2312" w:hAnsi="宋体" w:eastAsia="仿宋_GB2312" w:cs="宋体"/>
          <w:sz w:val="32"/>
          <w:szCs w:val="32"/>
        </w:rPr>
        <w:t>万左右。进口产品国内份额大概为日本奥林巴斯6</w:t>
      </w:r>
      <w:r>
        <w:rPr>
          <w:rFonts w:ascii="仿宋_GB2312" w:hAnsi="宋体" w:eastAsia="仿宋_GB2312" w:cs="宋体"/>
          <w:sz w:val="32"/>
          <w:szCs w:val="32"/>
        </w:rPr>
        <w:t>0%</w:t>
      </w:r>
      <w:r>
        <w:rPr>
          <w:rFonts w:hint="eastAsia" w:ascii="仿宋_GB2312" w:hAnsi="宋体" w:eastAsia="仿宋_GB2312" w:cs="宋体"/>
          <w:sz w:val="32"/>
          <w:szCs w:val="32"/>
        </w:rPr>
        <w:t>、日本富士25%、宾得5%。</w:t>
      </w:r>
    </w:p>
    <w:p>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 xml:space="preserve">（1）德化县中医院 111.6万 </w:t>
      </w:r>
      <w:r>
        <w:rPr>
          <w:rFonts w:hint="eastAsia" w:ascii="仿宋_GB2312" w:hAnsi="宋体" w:eastAsia="仿宋_GB2312" w:cs="宋体"/>
          <w:sz w:val="32"/>
          <w:szCs w:val="32"/>
        </w:rPr>
        <w:fldChar w:fldCharType="begin"/>
      </w:r>
      <w:r>
        <w:rPr>
          <w:rFonts w:hint="eastAsia" w:ascii="仿宋_GB2312" w:hAnsi="宋体" w:eastAsia="仿宋_GB2312" w:cs="宋体"/>
          <w:sz w:val="32"/>
          <w:szCs w:val="32"/>
        </w:rPr>
        <w:instrText xml:space="preserve"> HYPERLINK "http://zfcg.quanzhou.gov.cn/350526/notice/d03180adb4de41acbb063875889f9af1/E422AA07A2681077E05307801DACC475/" </w:instrText>
      </w:r>
      <w:r>
        <w:rPr>
          <w:rFonts w:hint="eastAsia" w:ascii="仿宋_GB2312" w:hAnsi="宋体" w:eastAsia="仿宋_GB2312" w:cs="宋体"/>
          <w:sz w:val="32"/>
          <w:szCs w:val="32"/>
        </w:rPr>
        <w:fldChar w:fldCharType="separate"/>
      </w:r>
      <w:r>
        <w:rPr>
          <w:rFonts w:hint="eastAsia" w:ascii="仿宋_GB2312" w:hAnsi="宋体" w:eastAsia="仿宋_GB2312" w:cs="宋体"/>
          <w:sz w:val="32"/>
          <w:szCs w:val="32"/>
        </w:rPr>
        <w:t>福建省政府采购网 (quanzhou.gov.cn)</w:t>
      </w:r>
      <w:r>
        <w:rPr>
          <w:rFonts w:hint="eastAsia" w:ascii="仿宋_GB2312" w:hAnsi="宋体" w:eastAsia="仿宋_GB2312" w:cs="宋体"/>
          <w:sz w:val="32"/>
          <w:szCs w:val="32"/>
        </w:rPr>
        <w:fldChar w:fldCharType="end"/>
      </w:r>
      <w:r>
        <w:rPr>
          <w:rFonts w:hint="eastAsia" w:ascii="仿宋_GB2312" w:hAnsi="宋体" w:eastAsia="仿宋_GB2312" w:cs="宋体"/>
          <w:sz w:val="32"/>
          <w:szCs w:val="32"/>
        </w:rPr>
        <w:t xml:space="preserve"> 奥林巴斯 2022/7/19</w:t>
      </w:r>
    </w:p>
    <w:p>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 xml:space="preserve">（2）德化县医院   320万   </w:t>
      </w:r>
      <w:r>
        <w:rPr>
          <w:rFonts w:hint="eastAsia" w:ascii="仿宋_GB2312" w:hAnsi="宋体" w:eastAsia="仿宋_GB2312" w:cs="宋体"/>
          <w:sz w:val="32"/>
          <w:szCs w:val="32"/>
        </w:rPr>
        <w:fldChar w:fldCharType="begin"/>
      </w:r>
      <w:r>
        <w:rPr>
          <w:rFonts w:hint="eastAsia" w:ascii="仿宋_GB2312" w:hAnsi="宋体" w:eastAsia="仿宋_GB2312" w:cs="宋体"/>
          <w:sz w:val="32"/>
          <w:szCs w:val="32"/>
        </w:rPr>
        <w:instrText xml:space="preserve"> HYPERLINK "http://zfcg.quanzhou.gov.cn/350526/notice/d03180adb4de41acbb063875889f9af1/f7b028ddf74841648ee450b6cf3b95c4/" </w:instrText>
      </w:r>
      <w:r>
        <w:rPr>
          <w:rFonts w:hint="eastAsia" w:ascii="仿宋_GB2312" w:hAnsi="宋体" w:eastAsia="仿宋_GB2312" w:cs="宋体"/>
          <w:sz w:val="32"/>
          <w:szCs w:val="32"/>
        </w:rPr>
        <w:fldChar w:fldCharType="separate"/>
      </w:r>
      <w:r>
        <w:rPr>
          <w:rFonts w:hint="eastAsia" w:ascii="仿宋_GB2312" w:hAnsi="宋体" w:eastAsia="仿宋_GB2312" w:cs="宋体"/>
          <w:sz w:val="32"/>
          <w:szCs w:val="32"/>
        </w:rPr>
        <w:t>福建省政府采购网 (quanzhou.gov.cn)</w:t>
      </w:r>
      <w:r>
        <w:rPr>
          <w:rFonts w:hint="eastAsia" w:ascii="仿宋_GB2312" w:hAnsi="宋体" w:eastAsia="仿宋_GB2312" w:cs="宋体"/>
          <w:sz w:val="32"/>
          <w:szCs w:val="32"/>
        </w:rPr>
        <w:fldChar w:fldCharType="end"/>
      </w:r>
      <w:r>
        <w:rPr>
          <w:rFonts w:hint="eastAsia" w:ascii="仿宋_GB2312" w:hAnsi="宋体" w:eastAsia="仿宋_GB2312" w:cs="宋体"/>
          <w:sz w:val="32"/>
          <w:szCs w:val="32"/>
        </w:rPr>
        <w:t xml:space="preserve"> 奥林巴斯 2021-07-26</w:t>
      </w:r>
    </w:p>
    <w:p>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 xml:space="preserve">（3）霞浦县医院   179.5万 </w:t>
      </w:r>
      <w:r>
        <w:rPr>
          <w:rFonts w:hint="eastAsia" w:ascii="仿宋_GB2312" w:hAnsi="宋体" w:eastAsia="仿宋_GB2312" w:cs="宋体"/>
          <w:sz w:val="32"/>
          <w:szCs w:val="32"/>
        </w:rPr>
        <w:fldChar w:fldCharType="begin"/>
      </w:r>
      <w:r>
        <w:rPr>
          <w:rFonts w:hint="eastAsia" w:ascii="仿宋_GB2312" w:hAnsi="宋体" w:eastAsia="仿宋_GB2312" w:cs="宋体"/>
          <w:sz w:val="32"/>
          <w:szCs w:val="32"/>
        </w:rPr>
        <w:instrText xml:space="preserve"> HYPERLINK "http://zfcg.czj.ningde.gov.cn/350921/notice/d03180adb4de41acbb063875889f9af1/c57c15d70e7542a795c1e52195be7548/" </w:instrText>
      </w:r>
      <w:r>
        <w:rPr>
          <w:rFonts w:hint="eastAsia" w:ascii="仿宋_GB2312" w:hAnsi="宋体" w:eastAsia="仿宋_GB2312" w:cs="宋体"/>
          <w:sz w:val="32"/>
          <w:szCs w:val="32"/>
        </w:rPr>
        <w:fldChar w:fldCharType="separate"/>
      </w:r>
      <w:r>
        <w:rPr>
          <w:rFonts w:hint="eastAsia" w:ascii="仿宋_GB2312" w:hAnsi="宋体" w:eastAsia="仿宋_GB2312" w:cs="宋体"/>
          <w:sz w:val="32"/>
          <w:szCs w:val="32"/>
        </w:rPr>
        <w:t>福建省政府采购网 (ningde.gov.cn)</w:t>
      </w:r>
      <w:r>
        <w:rPr>
          <w:rFonts w:hint="eastAsia" w:ascii="仿宋_GB2312" w:hAnsi="宋体" w:eastAsia="仿宋_GB2312" w:cs="宋体"/>
          <w:sz w:val="32"/>
          <w:szCs w:val="32"/>
        </w:rPr>
        <w:fldChar w:fldCharType="end"/>
      </w:r>
      <w:r>
        <w:rPr>
          <w:rFonts w:hint="eastAsia" w:ascii="仿宋_GB2312" w:hAnsi="宋体" w:eastAsia="仿宋_GB2312" w:cs="宋体"/>
          <w:sz w:val="32"/>
          <w:szCs w:val="32"/>
        </w:rPr>
        <w:t xml:space="preserve"> 开立 2022/5/19</w:t>
      </w:r>
    </w:p>
    <w:p>
      <w:pPr>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 xml:space="preserve">（4）霞浦县医院   450万   </w:t>
      </w:r>
      <w:r>
        <w:rPr>
          <w:rFonts w:hint="eastAsia" w:ascii="仿宋_GB2312" w:hAnsi="宋体" w:eastAsia="仿宋_GB2312" w:cs="宋体"/>
          <w:sz w:val="32"/>
          <w:szCs w:val="32"/>
        </w:rPr>
        <w:fldChar w:fldCharType="begin"/>
      </w:r>
      <w:r>
        <w:rPr>
          <w:rFonts w:hint="eastAsia" w:ascii="仿宋_GB2312" w:hAnsi="宋体" w:eastAsia="仿宋_GB2312" w:cs="宋体"/>
          <w:sz w:val="32"/>
          <w:szCs w:val="32"/>
        </w:rPr>
        <w:instrText xml:space="preserve"> HYPERLINK "http://zfcg.czj.ningde.gov.cn/350921/notice/d03180adb4de41acbb063875889f9af1/E4C1A060AD79C17CE0533BF71CACDB63/" </w:instrText>
      </w:r>
      <w:r>
        <w:rPr>
          <w:rFonts w:hint="eastAsia" w:ascii="仿宋_GB2312" w:hAnsi="宋体" w:eastAsia="仿宋_GB2312" w:cs="宋体"/>
          <w:sz w:val="32"/>
          <w:szCs w:val="32"/>
        </w:rPr>
        <w:fldChar w:fldCharType="separate"/>
      </w:r>
      <w:r>
        <w:rPr>
          <w:rFonts w:hint="eastAsia" w:ascii="仿宋_GB2312" w:hAnsi="宋体" w:eastAsia="仿宋_GB2312" w:cs="宋体"/>
          <w:sz w:val="32"/>
          <w:szCs w:val="32"/>
        </w:rPr>
        <w:t>福建省政府采购网 (ningde.gov.cn)</w:t>
      </w:r>
      <w:r>
        <w:rPr>
          <w:rFonts w:hint="eastAsia" w:ascii="仿宋_GB2312" w:hAnsi="宋体" w:eastAsia="仿宋_GB2312" w:cs="宋体"/>
          <w:sz w:val="32"/>
          <w:szCs w:val="32"/>
        </w:rPr>
        <w:fldChar w:fldCharType="end"/>
      </w:r>
      <w:r>
        <w:rPr>
          <w:rFonts w:hint="eastAsia" w:ascii="仿宋_GB2312" w:hAnsi="宋体" w:eastAsia="仿宋_GB2312" w:cs="宋体"/>
          <w:sz w:val="32"/>
          <w:szCs w:val="32"/>
        </w:rPr>
        <w:t xml:space="preserve">  富士 2022/7/27</w:t>
      </w:r>
    </w:p>
    <w:p>
      <w:pPr>
        <w:ind w:firstLine="640" w:firstLineChars="200"/>
        <w:rPr>
          <w:rFonts w:hint="eastAsia" w:ascii="仿宋_GB2312" w:hAnsi="宋体" w:eastAsia="仿宋_GB2312" w:cs="宋体"/>
          <w:sz w:val="32"/>
          <w:szCs w:val="32"/>
        </w:rPr>
      </w:pPr>
    </w:p>
    <w:p>
      <w:pPr>
        <w:numPr>
          <w:ilvl w:val="0"/>
          <w:numId w:val="1"/>
        </w:num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国产、进口产品的核心技术标准与采购需求标准的对比情况。</w:t>
      </w:r>
    </w:p>
    <w:p>
      <w:pPr>
        <w:numPr>
          <w:ilvl w:val="0"/>
          <w:numId w:val="1"/>
        </w:numPr>
        <w:ind w:firstLine="640" w:firstLineChars="200"/>
        <w:rPr>
          <w:rFonts w:ascii="仿宋_GB2312" w:hAnsi="宋体" w:eastAsia="仿宋_GB2312" w:cs="宋体"/>
          <w:sz w:val="32"/>
          <w:szCs w:val="32"/>
        </w:rPr>
      </w:pPr>
    </w:p>
    <w:tbl>
      <w:tblPr>
        <w:tblStyle w:val="5"/>
        <w:tblW w:w="10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
        <w:gridCol w:w="1134"/>
        <w:gridCol w:w="1418"/>
        <w:gridCol w:w="1417"/>
        <w:gridCol w:w="1617"/>
        <w:gridCol w:w="1759"/>
        <w:gridCol w:w="2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447" w:type="dxa"/>
            <w:vAlign w:val="center"/>
          </w:tcPr>
          <w:p>
            <w:pPr>
              <w:widowControl/>
              <w:jc w:val="center"/>
              <w:rPr>
                <w:rStyle w:val="7"/>
                <w:rFonts w:ascii="宋体" w:hAnsi="宋体"/>
                <w:b w:val="0"/>
                <w:bCs w:val="0"/>
                <w:szCs w:val="21"/>
              </w:rPr>
            </w:pPr>
            <w:r>
              <w:rPr>
                <w:rStyle w:val="7"/>
                <w:rFonts w:hint="eastAsia" w:ascii="宋体" w:hAnsi="宋体"/>
                <w:szCs w:val="21"/>
              </w:rPr>
              <w:t>序号</w:t>
            </w:r>
          </w:p>
        </w:tc>
        <w:tc>
          <w:tcPr>
            <w:tcW w:w="1134" w:type="dxa"/>
            <w:vAlign w:val="center"/>
          </w:tcPr>
          <w:p>
            <w:pPr>
              <w:widowControl/>
              <w:jc w:val="center"/>
              <w:rPr>
                <w:rStyle w:val="7"/>
                <w:rFonts w:ascii="宋体" w:hAnsi="宋体"/>
                <w:b w:val="0"/>
                <w:bCs w:val="0"/>
                <w:szCs w:val="21"/>
              </w:rPr>
            </w:pPr>
            <w:r>
              <w:rPr>
                <w:rStyle w:val="7"/>
                <w:rFonts w:hint="eastAsia" w:ascii="宋体" w:hAnsi="宋体"/>
                <w:szCs w:val="21"/>
              </w:rPr>
              <w:t>需求标准</w:t>
            </w:r>
          </w:p>
        </w:tc>
        <w:tc>
          <w:tcPr>
            <w:tcW w:w="1418" w:type="dxa"/>
            <w:vAlign w:val="center"/>
          </w:tcPr>
          <w:p>
            <w:pPr>
              <w:widowControl/>
              <w:jc w:val="center"/>
              <w:rPr>
                <w:rStyle w:val="7"/>
                <w:rFonts w:ascii="宋体" w:hAnsi="宋体"/>
                <w:b w:val="0"/>
                <w:bCs w:val="0"/>
                <w:szCs w:val="21"/>
              </w:rPr>
            </w:pPr>
            <w:r>
              <w:rPr>
                <w:rStyle w:val="7"/>
                <w:rFonts w:hint="eastAsia" w:ascii="宋体" w:hAnsi="宋体"/>
                <w:szCs w:val="21"/>
              </w:rPr>
              <w:t>国内产品1</w:t>
            </w:r>
          </w:p>
          <w:p>
            <w:pPr>
              <w:widowControl/>
              <w:jc w:val="center"/>
              <w:rPr>
                <w:rStyle w:val="7"/>
                <w:rFonts w:ascii="宋体" w:hAnsi="宋体"/>
                <w:b w:val="0"/>
                <w:bCs w:val="0"/>
                <w:szCs w:val="21"/>
              </w:rPr>
            </w:pPr>
            <w:r>
              <w:rPr>
                <w:rStyle w:val="7"/>
                <w:rFonts w:hint="eastAsia" w:ascii="宋体" w:hAnsi="宋体"/>
                <w:szCs w:val="21"/>
              </w:rPr>
              <w:t>（开立）</w:t>
            </w:r>
          </w:p>
        </w:tc>
        <w:tc>
          <w:tcPr>
            <w:tcW w:w="1417" w:type="dxa"/>
            <w:vAlign w:val="center"/>
          </w:tcPr>
          <w:p>
            <w:pPr>
              <w:widowControl/>
              <w:jc w:val="center"/>
              <w:rPr>
                <w:rStyle w:val="7"/>
                <w:rFonts w:ascii="宋体" w:hAnsi="宋体"/>
                <w:b w:val="0"/>
                <w:bCs w:val="0"/>
                <w:szCs w:val="21"/>
              </w:rPr>
            </w:pPr>
            <w:r>
              <w:rPr>
                <w:rStyle w:val="7"/>
                <w:rFonts w:hint="eastAsia" w:ascii="宋体" w:hAnsi="宋体"/>
                <w:szCs w:val="21"/>
              </w:rPr>
              <w:t>国内产品2</w:t>
            </w:r>
          </w:p>
          <w:p>
            <w:pPr>
              <w:widowControl/>
              <w:jc w:val="center"/>
              <w:rPr>
                <w:rStyle w:val="7"/>
                <w:rFonts w:ascii="宋体" w:hAnsi="宋体"/>
                <w:b w:val="0"/>
                <w:bCs w:val="0"/>
                <w:szCs w:val="21"/>
              </w:rPr>
            </w:pPr>
            <w:r>
              <w:rPr>
                <w:rStyle w:val="7"/>
                <w:rFonts w:hint="eastAsia" w:ascii="宋体" w:hAnsi="宋体"/>
                <w:szCs w:val="21"/>
              </w:rPr>
              <w:t>（澳华）</w:t>
            </w:r>
          </w:p>
        </w:tc>
        <w:tc>
          <w:tcPr>
            <w:tcW w:w="1617" w:type="dxa"/>
            <w:vAlign w:val="center"/>
          </w:tcPr>
          <w:p>
            <w:pPr>
              <w:widowControl/>
              <w:jc w:val="center"/>
              <w:rPr>
                <w:rStyle w:val="7"/>
                <w:rFonts w:ascii="宋体" w:hAnsi="宋体"/>
                <w:b w:val="0"/>
                <w:bCs w:val="0"/>
                <w:szCs w:val="21"/>
              </w:rPr>
            </w:pPr>
            <w:r>
              <w:rPr>
                <w:rStyle w:val="7"/>
                <w:rFonts w:hint="eastAsia" w:ascii="宋体" w:hAnsi="宋体"/>
                <w:szCs w:val="21"/>
              </w:rPr>
              <w:t>进口产品3</w:t>
            </w:r>
          </w:p>
          <w:p>
            <w:pPr>
              <w:widowControl/>
              <w:jc w:val="center"/>
              <w:rPr>
                <w:rStyle w:val="7"/>
                <w:rFonts w:ascii="宋体" w:hAnsi="宋体"/>
                <w:b w:val="0"/>
                <w:bCs w:val="0"/>
                <w:szCs w:val="21"/>
              </w:rPr>
            </w:pPr>
            <w:r>
              <w:rPr>
                <w:rStyle w:val="7"/>
                <w:rFonts w:hint="eastAsia" w:ascii="宋体" w:hAnsi="宋体"/>
                <w:szCs w:val="21"/>
              </w:rPr>
              <w:t>（奥林巴斯）</w:t>
            </w:r>
          </w:p>
        </w:tc>
        <w:tc>
          <w:tcPr>
            <w:tcW w:w="1759" w:type="dxa"/>
          </w:tcPr>
          <w:p>
            <w:pPr>
              <w:widowControl/>
              <w:jc w:val="center"/>
              <w:rPr>
                <w:rStyle w:val="7"/>
                <w:rFonts w:ascii="宋体" w:hAnsi="宋体"/>
                <w:szCs w:val="21"/>
              </w:rPr>
            </w:pPr>
            <w:r>
              <w:rPr>
                <w:rStyle w:val="7"/>
                <w:rFonts w:hint="eastAsia" w:ascii="宋体" w:hAnsi="宋体"/>
                <w:szCs w:val="21"/>
              </w:rPr>
              <w:t>进口产品</w:t>
            </w:r>
          </w:p>
          <w:p>
            <w:pPr>
              <w:widowControl/>
              <w:jc w:val="center"/>
              <w:rPr>
                <w:rStyle w:val="7"/>
                <w:rFonts w:hint="eastAsia" w:ascii="宋体" w:hAnsi="宋体"/>
                <w:szCs w:val="21"/>
              </w:rPr>
            </w:pPr>
            <w:r>
              <w:rPr>
                <w:rStyle w:val="7"/>
                <w:rFonts w:hint="eastAsia" w:ascii="宋体" w:hAnsi="宋体"/>
                <w:szCs w:val="21"/>
              </w:rPr>
              <w:t>（富士）</w:t>
            </w:r>
          </w:p>
        </w:tc>
        <w:tc>
          <w:tcPr>
            <w:tcW w:w="2967" w:type="dxa"/>
            <w:vAlign w:val="center"/>
          </w:tcPr>
          <w:p>
            <w:pPr>
              <w:widowControl/>
              <w:jc w:val="center"/>
              <w:rPr>
                <w:rStyle w:val="7"/>
                <w:rFonts w:ascii="宋体" w:hAnsi="宋体"/>
                <w:b w:val="0"/>
                <w:bCs w:val="0"/>
                <w:szCs w:val="21"/>
              </w:rPr>
            </w:pPr>
            <w:r>
              <w:rPr>
                <w:rStyle w:val="7"/>
                <w:rFonts w:hint="eastAsia" w:ascii="宋体" w:hAnsi="宋体"/>
                <w:szCs w:val="21"/>
              </w:rPr>
              <w:t>参数的意义及相应的科研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447" w:type="dxa"/>
            <w:vAlign w:val="center"/>
          </w:tcPr>
          <w:p>
            <w:pPr>
              <w:widowControl/>
              <w:jc w:val="left"/>
              <w:rPr>
                <w:rStyle w:val="7"/>
                <w:rFonts w:ascii="宋体" w:hAnsi="宋体"/>
                <w:b w:val="0"/>
                <w:bCs w:val="0"/>
                <w:sz w:val="20"/>
                <w:szCs w:val="20"/>
              </w:rPr>
            </w:pPr>
            <w:bookmarkStart w:id="1" w:name="_Hlk96972481"/>
            <w:r>
              <w:rPr>
                <w:rStyle w:val="7"/>
                <w:rFonts w:ascii="宋体" w:hAnsi="宋体"/>
                <w:sz w:val="20"/>
                <w:szCs w:val="20"/>
              </w:rPr>
              <w:t>1</w:t>
            </w:r>
          </w:p>
        </w:tc>
        <w:tc>
          <w:tcPr>
            <w:tcW w:w="1134" w:type="dxa"/>
            <w:vAlign w:val="center"/>
          </w:tcPr>
          <w:p>
            <w:pPr>
              <w:widowControl/>
              <w:jc w:val="left"/>
              <w:rPr>
                <w:rStyle w:val="7"/>
                <w:rFonts w:ascii="宋体" w:hAnsi="宋体"/>
                <w:b w:val="0"/>
                <w:bCs w:val="0"/>
                <w:sz w:val="20"/>
                <w:szCs w:val="20"/>
              </w:rPr>
            </w:pPr>
            <w:r>
              <w:rPr>
                <w:rStyle w:val="7"/>
                <w:rFonts w:hint="eastAsia" w:ascii="宋体" w:hAnsi="宋体"/>
                <w:sz w:val="20"/>
                <w:szCs w:val="20"/>
              </w:rPr>
              <w:t>窄带光成像技术</w:t>
            </w:r>
          </w:p>
        </w:tc>
        <w:tc>
          <w:tcPr>
            <w:tcW w:w="1418" w:type="dxa"/>
          </w:tcPr>
          <w:p>
            <w:pPr>
              <w:widowControl/>
              <w:jc w:val="center"/>
              <w:rPr>
                <w:rStyle w:val="7"/>
                <w:rFonts w:ascii="宋体" w:hAnsi="宋体"/>
                <w:b w:val="0"/>
                <w:bCs w:val="0"/>
                <w:sz w:val="20"/>
                <w:szCs w:val="20"/>
              </w:rPr>
            </w:pPr>
            <w:r>
              <w:rPr>
                <w:rFonts w:hint="eastAsia"/>
              </w:rPr>
              <w:t>2</w:t>
            </w:r>
            <w:r>
              <w:t>016</w:t>
            </w:r>
            <w:r>
              <w:rPr>
                <w:rFonts w:hint="eastAsia"/>
              </w:rPr>
              <w:t>年推出光电复合染色成像技术（VIST）</w:t>
            </w:r>
          </w:p>
        </w:tc>
        <w:tc>
          <w:tcPr>
            <w:tcW w:w="1417" w:type="dxa"/>
          </w:tcPr>
          <w:p>
            <w:pPr>
              <w:widowControl/>
              <w:jc w:val="center"/>
              <w:rPr>
                <w:rStyle w:val="7"/>
                <w:rFonts w:ascii="宋体" w:hAnsi="宋体"/>
                <w:b w:val="0"/>
                <w:bCs w:val="0"/>
                <w:sz w:val="20"/>
                <w:szCs w:val="20"/>
              </w:rPr>
            </w:pPr>
            <w:r>
              <w:rPr>
                <w:rFonts w:hint="eastAsia"/>
              </w:rPr>
              <w:t>2</w:t>
            </w:r>
            <w:r>
              <w:t>011</w:t>
            </w:r>
            <w:r>
              <w:rPr>
                <w:rFonts w:hint="eastAsia"/>
              </w:rPr>
              <w:t>年推出分光染色技术（CBI）</w:t>
            </w:r>
          </w:p>
        </w:tc>
        <w:tc>
          <w:tcPr>
            <w:tcW w:w="1617" w:type="dxa"/>
          </w:tcPr>
          <w:p>
            <w:pPr>
              <w:widowControl/>
              <w:jc w:val="center"/>
              <w:rPr>
                <w:rStyle w:val="7"/>
                <w:rFonts w:ascii="宋体" w:hAnsi="宋体"/>
                <w:b w:val="0"/>
                <w:bCs w:val="0"/>
                <w:sz w:val="20"/>
                <w:szCs w:val="20"/>
              </w:rPr>
            </w:pPr>
            <w:r>
              <w:rPr>
                <w:rFonts w:hint="eastAsia"/>
              </w:rPr>
              <w:t>2</w:t>
            </w:r>
            <w:r>
              <w:t>006</w:t>
            </w:r>
            <w:r>
              <w:rPr>
                <w:rFonts w:hint="eastAsia"/>
              </w:rPr>
              <w:t>年推出窄带光成像技术(NBI)</w:t>
            </w:r>
          </w:p>
        </w:tc>
        <w:tc>
          <w:tcPr>
            <w:tcW w:w="1759" w:type="dxa"/>
          </w:tcPr>
          <w:p>
            <w:pPr>
              <w:widowControl/>
              <w:jc w:val="center"/>
              <w:rPr>
                <w:rFonts w:hint="eastAsia"/>
              </w:rPr>
            </w:pPr>
            <w:r>
              <w:rPr>
                <w:rFonts w:hint="eastAsia"/>
              </w:rPr>
              <w:t>具有B</w:t>
            </w:r>
            <w:r>
              <w:t xml:space="preserve">LI \LCI </w:t>
            </w:r>
            <w:r>
              <w:rPr>
                <w:rFonts w:hint="eastAsia"/>
              </w:rPr>
              <w:t>成像技术</w:t>
            </w:r>
          </w:p>
        </w:tc>
        <w:tc>
          <w:tcPr>
            <w:tcW w:w="2967" w:type="dxa"/>
          </w:tcPr>
          <w:p>
            <w:pPr>
              <w:widowControl/>
              <w:jc w:val="left"/>
              <w:rPr>
                <w:rStyle w:val="7"/>
                <w:rFonts w:ascii="宋体" w:hAnsi="宋体"/>
                <w:b w:val="0"/>
                <w:bCs w:val="0"/>
                <w:sz w:val="20"/>
                <w:szCs w:val="20"/>
              </w:rPr>
            </w:pPr>
            <w:r>
              <w:rPr>
                <w:rFonts w:hint="eastAsia"/>
              </w:rPr>
              <w:t>可增强黏膜表层的血管和其他组织的可视性，增强表层结构和黏膜毛细血管的视觉对比度。相应科研论文很多例如：《Early gastric cancer detection in high-risk patients: a multicentre randomised controlled trial on the effect of second-generation narrow band imaging》 Yoshida N, Doyama H, et al. Gut. 2021 Jan;70(1):67-75. doi: 10.1136/gutjnl-2019-319631. 表明与白光内镜相比，第二代NBI（290系列）能提高早期胃癌的发现率。</w:t>
            </w:r>
          </w:p>
        </w:tc>
      </w:tr>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447" w:type="dxa"/>
            <w:vAlign w:val="center"/>
          </w:tcPr>
          <w:p>
            <w:pPr>
              <w:widowControl/>
              <w:jc w:val="left"/>
              <w:rPr>
                <w:rStyle w:val="7"/>
                <w:rFonts w:ascii="宋体" w:hAnsi="宋体"/>
                <w:b w:val="0"/>
                <w:bCs w:val="0"/>
                <w:sz w:val="20"/>
                <w:szCs w:val="20"/>
              </w:rPr>
            </w:pPr>
            <w:bookmarkStart w:id="2" w:name="_Hlk96973611"/>
            <w:r>
              <w:rPr>
                <w:rStyle w:val="7"/>
                <w:rFonts w:ascii="宋体" w:hAnsi="宋体"/>
                <w:sz w:val="20"/>
                <w:szCs w:val="20"/>
              </w:rPr>
              <w:t>2</w:t>
            </w:r>
          </w:p>
        </w:tc>
        <w:tc>
          <w:tcPr>
            <w:tcW w:w="1134" w:type="dxa"/>
            <w:vAlign w:val="center"/>
          </w:tcPr>
          <w:p>
            <w:pPr>
              <w:widowControl/>
              <w:jc w:val="left"/>
              <w:rPr>
                <w:rStyle w:val="7"/>
                <w:rFonts w:ascii="宋体" w:hAnsi="宋体"/>
                <w:b w:val="0"/>
                <w:bCs w:val="0"/>
                <w:sz w:val="20"/>
                <w:szCs w:val="20"/>
              </w:rPr>
            </w:pPr>
            <w:r>
              <w:rPr>
                <w:rStyle w:val="7"/>
                <w:rFonts w:hint="eastAsia" w:ascii="宋体" w:hAnsi="宋体"/>
                <w:sz w:val="20"/>
                <w:szCs w:val="20"/>
              </w:rPr>
              <w:t>≥170度视野角</w:t>
            </w:r>
          </w:p>
        </w:tc>
        <w:tc>
          <w:tcPr>
            <w:tcW w:w="1418" w:type="dxa"/>
            <w:vAlign w:val="center"/>
          </w:tcPr>
          <w:p>
            <w:pPr>
              <w:jc w:val="center"/>
              <w:rPr>
                <w:sz w:val="20"/>
                <w:szCs w:val="20"/>
              </w:rPr>
            </w:pPr>
            <w:r>
              <w:rPr>
                <w:rFonts w:hint="eastAsia"/>
                <w:sz w:val="20"/>
                <w:szCs w:val="20"/>
              </w:rPr>
              <w:t>1</w:t>
            </w:r>
            <w:r>
              <w:rPr>
                <w:sz w:val="20"/>
                <w:szCs w:val="20"/>
              </w:rPr>
              <w:t>40</w:t>
            </w:r>
            <w:r>
              <w:rPr>
                <w:rFonts w:hint="eastAsia"/>
                <w:sz w:val="20"/>
                <w:szCs w:val="20"/>
              </w:rPr>
              <w:t>度</w:t>
            </w:r>
          </w:p>
        </w:tc>
        <w:tc>
          <w:tcPr>
            <w:tcW w:w="1417" w:type="dxa"/>
            <w:vAlign w:val="center"/>
          </w:tcPr>
          <w:p>
            <w:pPr>
              <w:jc w:val="center"/>
              <w:rPr>
                <w:sz w:val="20"/>
                <w:szCs w:val="20"/>
              </w:rPr>
            </w:pPr>
            <w:r>
              <w:rPr>
                <w:rFonts w:hint="eastAsia"/>
                <w:sz w:val="20"/>
                <w:szCs w:val="20"/>
              </w:rPr>
              <w:t>1</w:t>
            </w:r>
            <w:r>
              <w:rPr>
                <w:sz w:val="20"/>
                <w:szCs w:val="20"/>
              </w:rPr>
              <w:t>45</w:t>
            </w:r>
            <w:r>
              <w:rPr>
                <w:rFonts w:hint="eastAsia"/>
                <w:sz w:val="20"/>
                <w:szCs w:val="20"/>
              </w:rPr>
              <w:t>度</w:t>
            </w:r>
          </w:p>
        </w:tc>
        <w:tc>
          <w:tcPr>
            <w:tcW w:w="1617" w:type="dxa"/>
            <w:vAlign w:val="center"/>
          </w:tcPr>
          <w:p>
            <w:pPr>
              <w:jc w:val="center"/>
              <w:rPr>
                <w:sz w:val="20"/>
                <w:szCs w:val="20"/>
              </w:rPr>
            </w:pPr>
            <w:r>
              <w:rPr>
                <w:rFonts w:hint="eastAsia"/>
                <w:sz w:val="20"/>
                <w:szCs w:val="20"/>
              </w:rPr>
              <w:t>1</w:t>
            </w:r>
            <w:r>
              <w:rPr>
                <w:sz w:val="20"/>
                <w:szCs w:val="20"/>
              </w:rPr>
              <w:t>70</w:t>
            </w:r>
            <w:r>
              <w:rPr>
                <w:rFonts w:hint="eastAsia"/>
                <w:sz w:val="20"/>
                <w:szCs w:val="20"/>
              </w:rPr>
              <w:t>度</w:t>
            </w:r>
          </w:p>
        </w:tc>
        <w:tc>
          <w:tcPr>
            <w:tcW w:w="1759" w:type="dxa"/>
          </w:tcPr>
          <w:p>
            <w:pPr>
              <w:widowControl/>
              <w:jc w:val="left"/>
              <w:rPr>
                <w:sz w:val="20"/>
                <w:szCs w:val="20"/>
              </w:rPr>
            </w:pPr>
          </w:p>
          <w:p>
            <w:pPr>
              <w:widowControl/>
              <w:jc w:val="left"/>
              <w:rPr>
                <w:sz w:val="20"/>
                <w:szCs w:val="20"/>
              </w:rPr>
            </w:pPr>
          </w:p>
          <w:p>
            <w:pPr>
              <w:widowControl/>
              <w:jc w:val="center"/>
              <w:rPr>
                <w:rStyle w:val="7"/>
                <w:rFonts w:hint="eastAsia" w:ascii="宋体" w:hAnsi="宋体"/>
                <w:sz w:val="20"/>
                <w:szCs w:val="20"/>
              </w:rPr>
            </w:pPr>
            <w:r>
              <w:rPr>
                <w:rFonts w:hint="eastAsia"/>
                <w:sz w:val="20"/>
                <w:szCs w:val="20"/>
              </w:rPr>
              <w:t>1</w:t>
            </w:r>
            <w:r>
              <w:rPr>
                <w:sz w:val="20"/>
                <w:szCs w:val="20"/>
              </w:rPr>
              <w:t>70</w:t>
            </w:r>
            <w:r>
              <w:rPr>
                <w:rFonts w:hint="eastAsia"/>
                <w:sz w:val="20"/>
                <w:szCs w:val="20"/>
              </w:rPr>
              <w:t>度</w:t>
            </w:r>
          </w:p>
        </w:tc>
        <w:tc>
          <w:tcPr>
            <w:tcW w:w="2967" w:type="dxa"/>
            <w:vAlign w:val="center"/>
          </w:tcPr>
          <w:p>
            <w:pPr>
              <w:widowControl/>
              <w:jc w:val="left"/>
              <w:rPr>
                <w:rStyle w:val="7"/>
                <w:rFonts w:ascii="宋体" w:hAnsi="宋体"/>
                <w:b w:val="0"/>
                <w:bCs w:val="0"/>
                <w:sz w:val="20"/>
                <w:szCs w:val="20"/>
              </w:rPr>
            </w:pPr>
            <w:r>
              <w:rPr>
                <w:rStyle w:val="7"/>
                <w:rFonts w:hint="eastAsia" w:ascii="宋体" w:hAnsi="宋体"/>
                <w:sz w:val="20"/>
                <w:szCs w:val="20"/>
              </w:rPr>
              <w:t>视野角更大：1、可减少盲区防止遗漏病灶。2、缩短检查时间和提高内镜寿命。检查不需要停下来打角度才能看到盲区。也不会因为大量打角度造成内镜角度部件损耗。</w:t>
            </w:r>
          </w:p>
        </w:tc>
      </w:tr>
      <w:bookmark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47" w:type="dxa"/>
            <w:vAlign w:val="center"/>
          </w:tcPr>
          <w:p>
            <w:pPr>
              <w:widowControl/>
              <w:jc w:val="left"/>
              <w:rPr>
                <w:rStyle w:val="7"/>
                <w:rFonts w:ascii="宋体" w:hAnsi="宋体"/>
                <w:b w:val="0"/>
                <w:bCs w:val="0"/>
                <w:sz w:val="20"/>
                <w:szCs w:val="20"/>
              </w:rPr>
            </w:pPr>
            <w:r>
              <w:rPr>
                <w:rStyle w:val="7"/>
                <w:rFonts w:ascii="宋体" w:hAnsi="宋体"/>
                <w:sz w:val="20"/>
                <w:szCs w:val="20"/>
              </w:rPr>
              <w:t>3</w:t>
            </w:r>
          </w:p>
        </w:tc>
        <w:tc>
          <w:tcPr>
            <w:tcW w:w="1134" w:type="dxa"/>
            <w:vAlign w:val="center"/>
          </w:tcPr>
          <w:p>
            <w:pPr>
              <w:widowControl/>
              <w:jc w:val="left"/>
              <w:rPr>
                <w:rStyle w:val="7"/>
                <w:rFonts w:ascii="宋体" w:hAnsi="宋体"/>
                <w:b w:val="0"/>
                <w:bCs w:val="0"/>
                <w:sz w:val="20"/>
                <w:szCs w:val="20"/>
              </w:rPr>
            </w:pPr>
            <w:r>
              <w:rPr>
                <w:rStyle w:val="7"/>
                <w:rFonts w:hint="eastAsia" w:ascii="宋体" w:hAnsi="宋体"/>
                <w:sz w:val="20"/>
                <w:szCs w:val="20"/>
              </w:rPr>
              <w:t>RIT功能，包含：强力传导（HFT）、智能弯曲（PB）和可变硬度</w:t>
            </w:r>
          </w:p>
        </w:tc>
        <w:tc>
          <w:tcPr>
            <w:tcW w:w="1418" w:type="dxa"/>
            <w:vAlign w:val="center"/>
          </w:tcPr>
          <w:p>
            <w:pPr>
              <w:widowControl/>
              <w:jc w:val="center"/>
              <w:rPr>
                <w:rStyle w:val="7"/>
                <w:rFonts w:ascii="宋体" w:hAnsi="宋体"/>
                <w:b w:val="0"/>
                <w:bCs w:val="0"/>
                <w:sz w:val="20"/>
                <w:szCs w:val="20"/>
              </w:rPr>
            </w:pPr>
            <w:r>
              <w:rPr>
                <w:rStyle w:val="7"/>
                <w:rFonts w:hint="eastAsia" w:ascii="宋体" w:hAnsi="宋体"/>
                <w:sz w:val="20"/>
                <w:szCs w:val="20"/>
              </w:rPr>
              <w:t>无</w:t>
            </w:r>
          </w:p>
        </w:tc>
        <w:tc>
          <w:tcPr>
            <w:tcW w:w="1417" w:type="dxa"/>
            <w:vAlign w:val="center"/>
          </w:tcPr>
          <w:p>
            <w:pPr>
              <w:widowControl/>
              <w:jc w:val="center"/>
              <w:rPr>
                <w:rStyle w:val="7"/>
                <w:rFonts w:ascii="宋体" w:hAnsi="宋体"/>
                <w:b w:val="0"/>
                <w:bCs w:val="0"/>
                <w:sz w:val="20"/>
                <w:szCs w:val="20"/>
              </w:rPr>
            </w:pPr>
            <w:r>
              <w:rPr>
                <w:rStyle w:val="7"/>
                <w:rFonts w:hint="eastAsia" w:ascii="宋体" w:hAnsi="宋体"/>
                <w:sz w:val="20"/>
                <w:szCs w:val="20"/>
              </w:rPr>
              <w:t>无</w:t>
            </w:r>
          </w:p>
        </w:tc>
        <w:tc>
          <w:tcPr>
            <w:tcW w:w="1617" w:type="dxa"/>
            <w:vAlign w:val="center"/>
          </w:tcPr>
          <w:p>
            <w:pPr>
              <w:jc w:val="center"/>
              <w:rPr>
                <w:sz w:val="20"/>
                <w:szCs w:val="20"/>
              </w:rPr>
            </w:pPr>
            <w:r>
              <w:rPr>
                <w:rStyle w:val="7"/>
                <w:rFonts w:hint="eastAsia" w:ascii="宋体" w:hAnsi="宋体"/>
              </w:rPr>
              <w:t>有该功能</w:t>
            </w:r>
          </w:p>
        </w:tc>
        <w:tc>
          <w:tcPr>
            <w:tcW w:w="1759" w:type="dxa"/>
          </w:tcPr>
          <w:p>
            <w:pPr>
              <w:widowControl/>
              <w:jc w:val="center"/>
              <w:rPr>
                <w:rStyle w:val="7"/>
                <w:rFonts w:ascii="宋体" w:hAnsi="宋体"/>
              </w:rPr>
            </w:pPr>
          </w:p>
          <w:p>
            <w:pPr>
              <w:widowControl/>
              <w:jc w:val="center"/>
              <w:rPr>
                <w:rStyle w:val="7"/>
                <w:rFonts w:ascii="宋体" w:hAnsi="宋体"/>
              </w:rPr>
            </w:pPr>
          </w:p>
          <w:p>
            <w:pPr>
              <w:widowControl/>
              <w:jc w:val="center"/>
              <w:rPr>
                <w:rStyle w:val="7"/>
                <w:rFonts w:ascii="宋体" w:hAnsi="宋体"/>
              </w:rPr>
            </w:pPr>
          </w:p>
          <w:p>
            <w:pPr>
              <w:widowControl/>
              <w:jc w:val="center"/>
              <w:rPr>
                <w:rStyle w:val="7"/>
                <w:rFonts w:ascii="宋体" w:hAnsi="宋体"/>
              </w:rPr>
            </w:pPr>
          </w:p>
          <w:p>
            <w:pPr>
              <w:widowControl/>
              <w:jc w:val="center"/>
              <w:rPr>
                <w:rStyle w:val="7"/>
                <w:rFonts w:hint="eastAsia" w:ascii="宋体" w:hAnsi="宋体"/>
              </w:rPr>
            </w:pPr>
            <w:r>
              <w:rPr>
                <w:rStyle w:val="7"/>
                <w:rFonts w:hint="eastAsia" w:ascii="宋体" w:hAnsi="宋体"/>
              </w:rPr>
              <w:t>有该功能</w:t>
            </w:r>
          </w:p>
        </w:tc>
        <w:tc>
          <w:tcPr>
            <w:tcW w:w="2967" w:type="dxa"/>
            <w:vAlign w:val="center"/>
          </w:tcPr>
          <w:p>
            <w:pPr>
              <w:widowControl/>
              <w:jc w:val="left"/>
              <w:rPr>
                <w:rStyle w:val="7"/>
                <w:rFonts w:ascii="宋体" w:hAnsi="宋体"/>
              </w:rPr>
            </w:pPr>
            <w:r>
              <w:rPr>
                <w:rStyle w:val="7"/>
                <w:rFonts w:hint="eastAsia" w:ascii="宋体" w:hAnsi="宋体"/>
              </w:rPr>
              <w:t>用于减少患者疼痛，并增加结肠镜插入盲肠的成功率。科研文献举例：《超细结肠镜用于实施腹部手术的患者及女性患者》Tekeda，H</w:t>
            </w:r>
            <w:r>
              <w:rPr>
                <w:rStyle w:val="7"/>
                <w:rFonts w:ascii="宋体" w:hAnsi="宋体"/>
              </w:rPr>
              <w:t>.</w:t>
            </w:r>
            <w:r>
              <w:rPr>
                <w:rFonts w:hint="eastAsia"/>
              </w:rPr>
              <w:t xml:space="preserve"> </w:t>
            </w:r>
            <w:r>
              <w:rPr>
                <w:rStyle w:val="7"/>
                <w:rFonts w:hint="eastAsia" w:ascii="宋体" w:hAnsi="宋体"/>
              </w:rPr>
              <w:t>2011年消化内镜检查，第23卷，第6期</w:t>
            </w:r>
          </w:p>
        </w:tc>
      </w:tr>
    </w:tbl>
    <w:p>
      <w:pPr>
        <w:numPr>
          <w:ilvl w:val="0"/>
          <w:numId w:val="2"/>
        </w:num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需求调查过程</w:t>
      </w:r>
    </w:p>
    <w:p>
      <w:pPr>
        <w:ind w:firstLine="640" w:firstLineChars="200"/>
        <w:rPr>
          <w:rFonts w:ascii="仿宋_GB2312" w:hAnsi="宋体" w:eastAsia="仿宋_GB2312" w:cs="宋体"/>
          <w:sz w:val="32"/>
          <w:szCs w:val="32"/>
        </w:rPr>
      </w:pPr>
      <w:r>
        <w:rPr>
          <w:rFonts w:hint="eastAsia" w:ascii="仿宋" w:hAnsi="仿宋" w:eastAsia="仿宋" w:cs="仿宋"/>
          <w:sz w:val="32"/>
          <w:szCs w:val="32"/>
        </w:rPr>
        <w:t>本着公平、公正、公开的原则，我院针对此次采购项目的消化内镜中心电子内镜系统等设备，</w:t>
      </w:r>
      <w:r>
        <w:rPr>
          <w:rFonts w:hint="eastAsia" w:ascii="仿宋" w:hAnsi="仿宋" w:eastAsia="仿宋" w:cs="仿宋"/>
          <w:sz w:val="32"/>
          <w:szCs w:val="32"/>
          <w:lang w:val="en-US" w:eastAsia="zh-CN"/>
        </w:rPr>
        <w:t>于2023年4月28日</w:t>
      </w:r>
      <w:r>
        <w:rPr>
          <w:rFonts w:hint="eastAsia" w:ascii="仿宋" w:hAnsi="仿宋" w:eastAsia="仿宋" w:cs="仿宋"/>
          <w:sz w:val="32"/>
          <w:szCs w:val="32"/>
        </w:rPr>
        <w:t>在福建医科大学附属第二医院门户网站上向社会公开了采购需求，邀请各电子内镜系统、电子胃镜、电子肠镜厂商参与项目竞争。</w:t>
      </w:r>
      <w:r>
        <w:rPr>
          <w:rFonts w:hint="eastAsia" w:ascii="仿宋_GB2312" w:hAnsi="宋体" w:eastAsia="仿宋_GB2312" w:cs="宋体"/>
          <w:sz w:val="32"/>
          <w:szCs w:val="32"/>
        </w:rPr>
        <w:t>为确保在调研论证时能囊括大部分市场主流国内外品牌，在公开征集调研对象时，均设置基础公共参数作为标准。</w:t>
      </w:r>
      <w:r>
        <w:rPr>
          <w:rFonts w:hint="eastAsia" w:ascii="仿宋" w:hAnsi="仿宋" w:eastAsia="仿宋" w:cs="仿宋"/>
          <w:sz w:val="32"/>
          <w:szCs w:val="32"/>
        </w:rPr>
        <w:t>共有四个厂商报名参与了电子内镜系统、电子胃镜、电子肠镜设备的推介，分别是日本奥林巴斯品牌、日本富士能品牌、国产上海澳华品牌、国产深圳开立品牌。我院于202</w:t>
      </w:r>
      <w:r>
        <w:rPr>
          <w:rFonts w:ascii="仿宋" w:hAnsi="仿宋" w:eastAsia="仿宋" w:cs="仿宋"/>
          <w:sz w:val="32"/>
          <w:szCs w:val="32"/>
        </w:rPr>
        <w:t>3</w:t>
      </w:r>
      <w:r>
        <w:rPr>
          <w:rFonts w:hint="eastAsia" w:ascii="仿宋" w:hAnsi="仿宋" w:eastAsia="仿宋" w:cs="仿宋"/>
          <w:sz w:val="32"/>
          <w:szCs w:val="32"/>
        </w:rPr>
        <w:t>年</w:t>
      </w:r>
      <w:r>
        <w:rPr>
          <w:rFonts w:ascii="仿宋" w:hAnsi="仿宋" w:eastAsia="仿宋" w:cs="仿宋"/>
          <w:sz w:val="32"/>
          <w:szCs w:val="32"/>
        </w:rPr>
        <w:t>6</w:t>
      </w:r>
      <w:r>
        <w:rPr>
          <w:rFonts w:hint="eastAsia" w:ascii="仿宋" w:hAnsi="仿宋" w:eastAsia="仿宋" w:cs="仿宋"/>
          <w:sz w:val="32"/>
          <w:szCs w:val="32"/>
        </w:rPr>
        <w:t>月</w:t>
      </w:r>
      <w:r>
        <w:rPr>
          <w:rFonts w:ascii="仿宋" w:hAnsi="仿宋" w:eastAsia="仿宋" w:cs="仿宋"/>
          <w:sz w:val="32"/>
          <w:szCs w:val="32"/>
        </w:rPr>
        <w:t>25</w:t>
      </w:r>
      <w:r>
        <w:rPr>
          <w:rFonts w:hint="eastAsia" w:ascii="仿宋" w:hAnsi="仿宋" w:eastAsia="仿宋" w:cs="仿宋"/>
          <w:sz w:val="32"/>
          <w:szCs w:val="32"/>
        </w:rPr>
        <w:t>日召开了设备的</w:t>
      </w:r>
      <w:r>
        <w:rPr>
          <w:rFonts w:hint="eastAsia" w:ascii="仿宋" w:hAnsi="仿宋" w:eastAsia="仿宋" w:cs="仿宋"/>
          <w:sz w:val="32"/>
          <w:szCs w:val="32"/>
          <w:lang w:val="en-US" w:eastAsia="zh-CN"/>
        </w:rPr>
        <w:t>论证询价</w:t>
      </w:r>
      <w:r>
        <w:rPr>
          <w:rFonts w:hint="eastAsia" w:ascii="仿宋" w:hAnsi="仿宋" w:eastAsia="仿宋" w:cs="仿宋"/>
          <w:sz w:val="32"/>
          <w:szCs w:val="32"/>
        </w:rPr>
        <w:t>会，</w:t>
      </w:r>
      <w:r>
        <w:rPr>
          <w:rFonts w:hint="eastAsia" w:ascii="仿宋_GB2312" w:hAnsi="宋体" w:eastAsia="仿宋_GB2312" w:cs="宋体"/>
          <w:sz w:val="32"/>
          <w:szCs w:val="32"/>
        </w:rPr>
        <w:t>经充分公开征集，该项目共有</w:t>
      </w:r>
      <w:r>
        <w:rPr>
          <w:rFonts w:ascii="仿宋_GB2312" w:hAnsi="宋体" w:eastAsia="仿宋_GB2312" w:cs="宋体"/>
          <w:sz w:val="32"/>
          <w:szCs w:val="32"/>
        </w:rPr>
        <w:t>4</w:t>
      </w:r>
      <w:r>
        <w:rPr>
          <w:rFonts w:hint="eastAsia" w:ascii="仿宋_GB2312" w:hAnsi="宋体" w:eastAsia="仿宋_GB2312" w:cs="宋体"/>
          <w:sz w:val="32"/>
          <w:szCs w:val="32"/>
        </w:rPr>
        <w:t>家品牌厂家提供产品资料参与论证，品牌型号包括深圳开立、上海澳华、日本奥林巴斯、日本富士能。</w:t>
      </w:r>
    </w:p>
    <w:p>
      <w:pPr>
        <w:ind w:firstLine="640" w:firstLineChars="200"/>
        <w:rPr>
          <w:rFonts w:ascii="仿宋" w:hAnsi="仿宋" w:eastAsia="仿宋" w:cs="仿宋"/>
          <w:sz w:val="32"/>
          <w:szCs w:val="32"/>
        </w:rPr>
      </w:pPr>
      <w:r>
        <w:rPr>
          <w:rFonts w:hint="eastAsia" w:ascii="仿宋" w:hAnsi="仿宋" w:eastAsia="仿宋" w:cs="仿宋"/>
          <w:sz w:val="32"/>
          <w:szCs w:val="32"/>
        </w:rPr>
        <w:t>通过</w:t>
      </w:r>
      <w:r>
        <w:rPr>
          <w:rFonts w:hint="eastAsia" w:ascii="仿宋" w:hAnsi="仿宋" w:eastAsia="仿宋" w:cs="仿宋"/>
          <w:sz w:val="32"/>
          <w:szCs w:val="32"/>
          <w:lang w:val="en-US" w:eastAsia="zh-CN"/>
        </w:rPr>
        <w:t>对</w:t>
      </w:r>
      <w:r>
        <w:rPr>
          <w:rFonts w:hint="eastAsia" w:ascii="仿宋" w:hAnsi="仿宋" w:eastAsia="仿宋" w:cs="仿宋"/>
          <w:sz w:val="32"/>
          <w:szCs w:val="32"/>
        </w:rPr>
        <w:t>各产商的设备介绍和性能比较，得出如内镜系统，具有超高清的特点，同时带有内镜窄带成像技术(NBI)用于辅助诊疗。上海澳华和深圳开立，只有染色成像技术，与使用科室需求不符。</w:t>
      </w:r>
    </w:p>
    <w:p>
      <w:pPr>
        <w:ind w:firstLine="640" w:firstLineChars="200"/>
        <w:rPr>
          <w:rFonts w:ascii="仿宋" w:hAnsi="仿宋" w:eastAsia="仿宋" w:cs="仿宋"/>
          <w:sz w:val="32"/>
          <w:szCs w:val="32"/>
        </w:rPr>
      </w:pPr>
      <w:r>
        <w:rPr>
          <w:rFonts w:hint="eastAsia" w:ascii="仿宋" w:hAnsi="仿宋" w:eastAsia="仿宋" w:cs="仿宋"/>
          <w:sz w:val="32"/>
          <w:szCs w:val="32"/>
        </w:rPr>
        <w:t>2.电子胃镜、电子肠镜：奥林巴斯品牌此类产品可提供如NBI特殊光诊疗辅助技术观察。此次参与推介的奥林巴斯电子肠镜和富士肠镜均具有170°视野角，能够有效减少漏诊，提高内镜检查效率。国产品牌的电子肠镜目前仅有145°的视野角，容易造成漏诊，与使用科室需求不符。</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四、调查结论</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（1）根据科室对电子内镜主机关键参数具备“窄带光成像技术”的需求调研发现：开立和澳华均有类似技术，应用时间和用户均很少，基本集中在国内，目前无高质量科研论文支持，无法达到需求。奥林巴斯</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富士</w:t>
      </w:r>
      <w:r>
        <w:rPr>
          <w:rFonts w:hint="eastAsia" w:ascii="仿宋_GB2312" w:hAnsi="宋体" w:eastAsia="仿宋_GB2312" w:cs="宋体"/>
          <w:sz w:val="32"/>
          <w:szCs w:val="32"/>
        </w:rPr>
        <w:t>拥有该技术，经过</w:t>
      </w:r>
      <w:r>
        <w:rPr>
          <w:rFonts w:hint="eastAsia" w:ascii="仿宋_GB2312" w:hAnsi="宋体" w:eastAsia="仿宋_GB2312" w:cs="宋体"/>
          <w:sz w:val="32"/>
          <w:szCs w:val="32"/>
          <w:lang w:val="en-US" w:eastAsia="zh-CN"/>
        </w:rPr>
        <w:t>多</w:t>
      </w:r>
      <w:r>
        <w:rPr>
          <w:rFonts w:hint="eastAsia" w:ascii="仿宋_GB2312" w:hAnsi="宋体" w:eastAsia="仿宋_GB2312" w:cs="宋体"/>
          <w:sz w:val="32"/>
          <w:szCs w:val="32"/>
        </w:rPr>
        <w:t>年国内外应用积累大量科研论文和培训资料，有实际使用效果支持，可以达到要求。</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（2）根据使用科室对电子肠镜设备关键参数具备“170度视野角和R</w:t>
      </w:r>
      <w:r>
        <w:rPr>
          <w:rFonts w:ascii="仿宋_GB2312" w:hAnsi="宋体" w:eastAsia="仿宋_GB2312" w:cs="宋体"/>
          <w:sz w:val="32"/>
          <w:szCs w:val="32"/>
        </w:rPr>
        <w:t>IT</w:t>
      </w:r>
      <w:r>
        <w:rPr>
          <w:rFonts w:hint="eastAsia" w:ascii="仿宋_GB2312" w:hAnsi="宋体" w:eastAsia="仿宋_GB2312" w:cs="宋体"/>
          <w:sz w:val="32"/>
          <w:szCs w:val="32"/>
        </w:rPr>
        <w:t>功能”的需求调研发现：开立和澳华均无相关技术无法达到要求，奥林巴斯、富士可达到要求。</w:t>
      </w:r>
    </w:p>
    <w:p>
      <w:pPr>
        <w:rPr>
          <w:rFonts w:hint="eastAsia" w:ascii="仿宋" w:hAnsi="仿宋" w:eastAsia="仿宋" w:cs="仿宋"/>
          <w:sz w:val="32"/>
          <w:szCs w:val="32"/>
        </w:rPr>
      </w:pPr>
      <w:r>
        <w:rPr>
          <w:rFonts w:hint="eastAsia"/>
        </w:rPr>
        <w:t xml:space="preserve">    </w:t>
      </w:r>
      <w:r>
        <w:rPr>
          <w:rFonts w:hint="eastAsia" w:ascii="仿宋" w:hAnsi="仿宋" w:eastAsia="仿宋" w:cs="仿宋"/>
          <w:sz w:val="32"/>
          <w:szCs w:val="32"/>
        </w:rPr>
        <w:t xml:space="preserve">  另据相关市场调研，在福建省内外各大综合性公立医院、在消化内镜的高端市场，进口产品还是占据了绝大部分的市场份额。根据中国医疗行业协会统计数据，2019年中国内窥镜市场以外资企业为主，内窥镜国产化率不足5%。</w:t>
      </w:r>
    </w:p>
    <w:p>
      <w:pPr>
        <w:ind w:firstLine="640"/>
        <w:rPr>
          <w:rFonts w:hint="eastAsia" w:ascii="仿宋" w:hAnsi="仿宋" w:eastAsia="仿宋" w:cs="仿宋"/>
          <w:sz w:val="32"/>
          <w:szCs w:val="32"/>
        </w:rPr>
      </w:pPr>
      <w:r>
        <w:rPr>
          <w:rFonts w:hint="eastAsia" w:ascii="仿宋" w:hAnsi="仿宋" w:eastAsia="仿宋" w:cs="仿宋"/>
          <w:sz w:val="32"/>
          <w:szCs w:val="32"/>
        </w:rPr>
        <w:t>以上为我院针对</w:t>
      </w:r>
      <w:r>
        <w:rPr>
          <w:rFonts w:hint="eastAsia" w:ascii="仿宋_GB2312" w:hAnsi="宋体" w:eastAsia="仿宋_GB2312" w:cs="宋体"/>
          <w:sz w:val="32"/>
          <w:szCs w:val="32"/>
        </w:rPr>
        <w:t>福建医科大学附属第二医院</w:t>
      </w:r>
      <w:r>
        <w:rPr>
          <w:rFonts w:hint="eastAsia" w:ascii="仿宋" w:hAnsi="仿宋" w:eastAsia="仿宋" w:cs="仿宋"/>
          <w:sz w:val="32"/>
          <w:szCs w:val="32"/>
        </w:rPr>
        <w:t>消化内镜中心电子内镜系统等设备采购项目进行的设备品牌需求调查。经调研，目前暂时只有进口品牌奥林巴斯能够满足我院消化内镜中心设备使用需求。故此次采购项目申请采购进口设备。</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五、调查结果承诺</w:t>
      </w:r>
    </w:p>
    <w:p>
      <w:p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承诺上述需求调查内容真实有效，无虚假情况，本单位对此报告内容的真实性负责。</w:t>
      </w:r>
    </w:p>
    <w:p>
      <w:pPr>
        <w:numPr>
          <w:ilvl w:val="0"/>
          <w:numId w:val="3"/>
        </w:numPr>
        <w:ind w:firstLine="640" w:firstLineChars="200"/>
        <w:rPr>
          <w:rFonts w:ascii="仿宋_GB2312" w:hAnsi="宋体" w:eastAsia="仿宋_GB2312" w:cs="宋体"/>
          <w:sz w:val="32"/>
          <w:szCs w:val="32"/>
        </w:rPr>
      </w:pPr>
      <w:r>
        <w:rPr>
          <w:rFonts w:hint="eastAsia" w:ascii="仿宋_GB2312" w:hAnsi="宋体" w:eastAsia="仿宋_GB2312" w:cs="宋体"/>
          <w:sz w:val="32"/>
          <w:szCs w:val="32"/>
        </w:rPr>
        <w:t>附件</w:t>
      </w:r>
    </w:p>
    <w:p>
      <w:pPr>
        <w:ind w:firstLine="640"/>
        <w:rPr>
          <w:rFonts w:hint="eastAsia" w:ascii="仿宋" w:hAnsi="仿宋" w:eastAsia="仿宋_GB2312" w:cs="仿宋"/>
          <w:sz w:val="32"/>
          <w:szCs w:val="32"/>
          <w:lang w:eastAsia="zh-CN"/>
        </w:rPr>
      </w:pPr>
      <w:r>
        <w:rPr>
          <w:rFonts w:hint="eastAsia" w:ascii="仿宋_GB2312" w:hAnsi="宋体" w:eastAsia="仿宋_GB2312" w:cs="宋体"/>
          <w:sz w:val="32"/>
          <w:szCs w:val="32"/>
        </w:rPr>
        <w:t xml:space="preserve">  </w:t>
      </w:r>
      <w:r>
        <w:rPr>
          <w:rFonts w:hint="eastAsia" w:ascii="仿宋" w:hAnsi="仿宋" w:eastAsia="仿宋_GB2312" w:cs="仿宋"/>
          <w:sz w:val="32"/>
          <w:szCs w:val="32"/>
          <w:lang w:eastAsia="zh-CN"/>
        </w:rPr>
        <w:drawing>
          <wp:inline distT="0" distB="0" distL="114300" distR="114300">
            <wp:extent cx="5268595" cy="5695315"/>
            <wp:effectExtent l="0" t="0" r="8255" b="635"/>
            <wp:docPr id="3" name="图片 3" descr="胃肠镜询价论证公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胃肠镜询价论证公告"/>
                    <pic:cNvPicPr>
                      <a:picLocks noChangeAspect="1"/>
                    </pic:cNvPicPr>
                  </pic:nvPicPr>
                  <pic:blipFill>
                    <a:blip r:embed="rId5"/>
                    <a:stretch>
                      <a:fillRect/>
                    </a:stretch>
                  </pic:blipFill>
                  <pic:spPr>
                    <a:xfrm>
                      <a:off x="0" y="0"/>
                      <a:ext cx="5268595" cy="5695315"/>
                    </a:xfrm>
                    <a:prstGeom prst="rect">
                      <a:avLst/>
                    </a:prstGeom>
                  </pic:spPr>
                </pic:pic>
              </a:graphicData>
            </a:graphic>
          </wp:inline>
        </w:drawing>
      </w:r>
      <w:r>
        <w:rPr>
          <w:rFonts w:hint="eastAsia" w:ascii="仿宋" w:hAnsi="仿宋" w:eastAsia="仿宋_GB2312" w:cs="仿宋"/>
          <w:sz w:val="32"/>
          <w:szCs w:val="32"/>
          <w:lang w:eastAsia="zh-CN"/>
        </w:rPr>
        <w:drawing>
          <wp:inline distT="0" distB="0" distL="114300" distR="114300">
            <wp:extent cx="4513580" cy="10657205"/>
            <wp:effectExtent l="0" t="0" r="1270" b="10795"/>
            <wp:docPr id="2" name="图片 2" descr="胃肠镜意向公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胃肠镜意向公示"/>
                    <pic:cNvPicPr>
                      <a:picLocks noChangeAspect="1"/>
                    </pic:cNvPicPr>
                  </pic:nvPicPr>
                  <pic:blipFill>
                    <a:blip r:embed="rId6"/>
                    <a:stretch>
                      <a:fillRect/>
                    </a:stretch>
                  </pic:blipFill>
                  <pic:spPr>
                    <a:xfrm>
                      <a:off x="0" y="0"/>
                      <a:ext cx="4513580" cy="10657205"/>
                    </a:xfrm>
                    <a:prstGeom prst="rect">
                      <a:avLst/>
                    </a:prstGeom>
                  </pic:spPr>
                </pic:pic>
              </a:graphicData>
            </a:graphic>
          </wp:inline>
        </w:drawing>
      </w:r>
    </w:p>
    <w:sectPr>
      <w:footerReference r:id="rId3" w:type="default"/>
      <w:pgSz w:w="11906" w:h="16838"/>
      <w:pgMar w:top="1327" w:right="1349" w:bottom="1327" w:left="134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3"/>
      <w:numFmt w:val="chineseCounting"/>
      <w:suff w:val="nothing"/>
      <w:lvlText w:val="%1、"/>
      <w:lvlJc w:val="left"/>
      <w:rPr>
        <w:rFonts w:hint="eastAsia"/>
      </w:rPr>
    </w:lvl>
  </w:abstractNum>
  <w:abstractNum w:abstractNumId="1">
    <w:nsid w:val="00000002"/>
    <w:multiLevelType w:val="singleLevel"/>
    <w:tmpl w:val="00000002"/>
    <w:lvl w:ilvl="0" w:tentative="0">
      <w:start w:val="4"/>
      <w:numFmt w:val="decimal"/>
      <w:lvlText w:val="%1."/>
      <w:lvlJc w:val="left"/>
      <w:pPr>
        <w:tabs>
          <w:tab w:val="left" w:pos="312"/>
        </w:tabs>
      </w:pPr>
    </w:lvl>
  </w:abstractNum>
  <w:abstractNum w:abstractNumId="2">
    <w:nsid w:val="0053208E"/>
    <w:multiLevelType w:val="singleLevel"/>
    <w:tmpl w:val="0053208E"/>
    <w:lvl w:ilvl="0" w:tentative="0">
      <w:start w:val="6"/>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1NTViZTkzNzc4ODNlOWQyNzMyYTE2N2FhNTZiOGEifQ=="/>
  </w:docVars>
  <w:rsids>
    <w:rsidRoot w:val="00EA4342"/>
    <w:rsid w:val="00EA4342"/>
    <w:rsid w:val="00F220F7"/>
    <w:rsid w:val="20DB0AFE"/>
    <w:rsid w:val="34AA3915"/>
    <w:rsid w:val="73EC1BA2"/>
    <w:rsid w:val="7FBA5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b/>
      <w:bCs/>
    </w:rPr>
  </w:style>
  <w:style w:type="character" w:styleId="8">
    <w:name w:val="FollowedHyperlink"/>
    <w:basedOn w:val="6"/>
    <w:qFormat/>
    <w:uiPriority w:val="0"/>
    <w:rPr>
      <w:color w:val="800080"/>
      <w:u w:val="single"/>
    </w:rPr>
  </w:style>
  <w:style w:type="character" w:styleId="9">
    <w:name w:val="Hyperlink"/>
    <w:basedOn w:val="6"/>
    <w:qFormat/>
    <w:uiPriority w:val="0"/>
    <w:rPr>
      <w:color w:val="0000FF"/>
      <w:u w:val="single"/>
    </w:rPr>
  </w:style>
  <w:style w:type="character" w:customStyle="1" w:styleId="10">
    <w:name w:val="页眉 字符"/>
    <w:basedOn w:val="6"/>
    <w:link w:val="4"/>
    <w:qFormat/>
    <w:uiPriority w:val="0"/>
    <w:rPr>
      <w:kern w:val="2"/>
      <w:sz w:val="18"/>
      <w:szCs w:val="18"/>
    </w:rPr>
  </w:style>
  <w:style w:type="character" w:customStyle="1" w:styleId="11">
    <w:name w:val="页脚 字符"/>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07F126-617B-4758-9B51-9C19F8E47975}">
  <ds:schemaRefs/>
</ds:datastoreItem>
</file>

<file path=docProps/app.xml><?xml version="1.0" encoding="utf-8"?>
<Properties xmlns="http://schemas.openxmlformats.org/officeDocument/2006/extended-properties" xmlns:vt="http://schemas.openxmlformats.org/officeDocument/2006/docPropsVTypes">
  <Template>Normal.dotm</Template>
  <Company>市直单位</Company>
  <Pages>8</Pages>
  <Words>2812</Words>
  <Characters>3344</Characters>
  <Lines>30</Lines>
  <Paragraphs>8</Paragraphs>
  <TotalTime>9</TotalTime>
  <ScaleCrop>false</ScaleCrop>
  <LinksUpToDate>false</LinksUpToDate>
  <CharactersWithSpaces>3432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2022-03-09T07:47:00Z</dcterms:created>
  <dc:creator>张玮</dc:creator>
  <cp:lastModifiedBy>Administrator</cp:lastModifiedBy>
  <cp:lastPrinted>2023-07-26T02:51:00Z</cp:lastPrinted>
  <dcterms:modified xsi:type="dcterms:W3CDTF">2023-07-31T03:08:04Z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23245D291A01488CB87EACF7BD6E24CC_13</vt:lpwstr>
  </property>
</Properties>
</file>